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923" w:rsidRDefault="00952923" w:rsidP="00952923">
      <w:pPr>
        <w:pStyle w:val="EPRITitleText"/>
        <w:spacing w:after="0"/>
        <w:ind w:left="0"/>
        <w:rPr>
          <w:rFonts w:ascii="Times New Roman" w:hAnsi="Times New Roman"/>
          <w:b/>
          <w:sz w:val="32"/>
          <w:szCs w:val="32"/>
        </w:rPr>
      </w:pPr>
    </w:p>
    <w:p w:rsidR="00952923" w:rsidRDefault="00952923" w:rsidP="00952923">
      <w:pPr>
        <w:rPr>
          <w:rFonts w:ascii="AvantGarde" w:hAnsi="AvantGarde"/>
          <w:b/>
          <w:sz w:val="36"/>
          <w:szCs w:val="36"/>
        </w:rPr>
      </w:pPr>
      <w:r w:rsidRPr="003601DE">
        <w:rPr>
          <w:rFonts w:ascii="AvantGarde" w:hAnsi="AvantGarde"/>
          <w:b/>
          <w:sz w:val="36"/>
          <w:szCs w:val="36"/>
        </w:rPr>
        <w:t>20</w:t>
      </w:r>
      <w:r>
        <w:rPr>
          <w:rFonts w:ascii="AvantGarde" w:hAnsi="AvantGarde"/>
          <w:b/>
          <w:sz w:val="36"/>
          <w:szCs w:val="36"/>
        </w:rPr>
        <w:t>1</w:t>
      </w:r>
      <w:r w:rsidR="008C104B">
        <w:rPr>
          <w:rFonts w:ascii="AvantGarde" w:hAnsi="AvantGarde"/>
          <w:b/>
          <w:sz w:val="36"/>
          <w:szCs w:val="36"/>
        </w:rPr>
        <w:t>4</w:t>
      </w:r>
      <w:r w:rsidRPr="003601DE">
        <w:rPr>
          <w:rFonts w:ascii="AvantGarde" w:hAnsi="AvantGarde"/>
          <w:b/>
          <w:sz w:val="36"/>
          <w:szCs w:val="36"/>
        </w:rPr>
        <w:t xml:space="preserve"> </w:t>
      </w:r>
      <w:r>
        <w:rPr>
          <w:rFonts w:ascii="AvantGarde" w:hAnsi="AvantGarde"/>
          <w:b/>
          <w:sz w:val="36"/>
          <w:szCs w:val="36"/>
        </w:rPr>
        <w:t xml:space="preserve">Statewide </w:t>
      </w:r>
      <w:r w:rsidRPr="003601DE">
        <w:rPr>
          <w:rFonts w:ascii="AvantGarde" w:hAnsi="AvantGarde"/>
          <w:b/>
          <w:sz w:val="36"/>
          <w:szCs w:val="36"/>
        </w:rPr>
        <w:t xml:space="preserve">Load Impact Evaluation of California </w:t>
      </w:r>
      <w:r>
        <w:rPr>
          <w:rFonts w:ascii="AvantGarde" w:hAnsi="AvantGarde"/>
          <w:b/>
          <w:sz w:val="36"/>
          <w:szCs w:val="36"/>
        </w:rPr>
        <w:t xml:space="preserve">Aggregator Demand Response </w:t>
      </w:r>
      <w:r w:rsidRPr="003601DE">
        <w:rPr>
          <w:rFonts w:ascii="AvantGarde" w:hAnsi="AvantGarde"/>
          <w:b/>
          <w:sz w:val="36"/>
          <w:szCs w:val="36"/>
        </w:rPr>
        <w:t xml:space="preserve">Programs </w:t>
      </w:r>
      <w:r w:rsidR="00E76ACE">
        <w:rPr>
          <w:rFonts w:ascii="AvantGarde" w:hAnsi="AvantGarde"/>
          <w:b/>
          <w:sz w:val="36"/>
          <w:szCs w:val="36"/>
        </w:rPr>
        <w:t xml:space="preserve">– </w:t>
      </w:r>
      <w:r w:rsidR="00E76ACE" w:rsidRPr="0032387A">
        <w:rPr>
          <w:rFonts w:ascii="AvantGarde" w:hAnsi="AvantGarde"/>
          <w:b/>
          <w:i/>
          <w:sz w:val="36"/>
          <w:szCs w:val="36"/>
        </w:rPr>
        <w:t>Ex-Post</w:t>
      </w:r>
      <w:r w:rsidR="00E76ACE">
        <w:rPr>
          <w:rFonts w:ascii="AvantGarde" w:hAnsi="AvantGarde"/>
          <w:b/>
          <w:sz w:val="36"/>
          <w:szCs w:val="36"/>
        </w:rPr>
        <w:t xml:space="preserve"> </w:t>
      </w:r>
      <w:r w:rsidR="0032387A">
        <w:rPr>
          <w:rFonts w:ascii="AvantGarde" w:hAnsi="AvantGarde"/>
          <w:b/>
          <w:sz w:val="36"/>
          <w:szCs w:val="36"/>
        </w:rPr>
        <w:t xml:space="preserve">and </w:t>
      </w:r>
      <w:r w:rsidR="0032387A" w:rsidRPr="0032387A">
        <w:rPr>
          <w:rFonts w:ascii="AvantGarde" w:hAnsi="AvantGarde"/>
          <w:b/>
          <w:i/>
          <w:sz w:val="36"/>
          <w:szCs w:val="36"/>
        </w:rPr>
        <w:t>Ex-Ante</w:t>
      </w:r>
      <w:r w:rsidR="0032387A">
        <w:rPr>
          <w:rFonts w:ascii="AvantGarde" w:hAnsi="AvantGarde"/>
          <w:b/>
          <w:sz w:val="36"/>
          <w:szCs w:val="36"/>
        </w:rPr>
        <w:t xml:space="preserve"> </w:t>
      </w:r>
      <w:r w:rsidR="00E76ACE">
        <w:rPr>
          <w:rFonts w:ascii="AvantGarde" w:hAnsi="AvantGarde"/>
          <w:b/>
          <w:sz w:val="36"/>
          <w:szCs w:val="36"/>
        </w:rPr>
        <w:t>Load Impacts</w:t>
      </w:r>
      <w:r w:rsidRPr="003601DE">
        <w:rPr>
          <w:rFonts w:ascii="AvantGarde" w:hAnsi="AvantGarde"/>
          <w:b/>
          <w:sz w:val="36"/>
          <w:szCs w:val="36"/>
        </w:rPr>
        <w:t xml:space="preserve"> </w:t>
      </w:r>
    </w:p>
    <w:p w:rsidR="00952923" w:rsidRDefault="00952923" w:rsidP="00952923">
      <w:pPr>
        <w:rPr>
          <w:rFonts w:ascii="AvantGarde" w:hAnsi="AvantGarde"/>
          <w:b/>
          <w:sz w:val="36"/>
          <w:szCs w:val="36"/>
        </w:rPr>
      </w:pPr>
    </w:p>
    <w:p w:rsidR="00952923" w:rsidRPr="00467BD7" w:rsidRDefault="00952923" w:rsidP="00952923">
      <w:pPr>
        <w:rPr>
          <w:rFonts w:ascii="AvantGarde" w:hAnsi="AvantGarde"/>
          <w:b/>
          <w:i/>
          <w:sz w:val="36"/>
          <w:szCs w:val="36"/>
        </w:rPr>
      </w:pPr>
    </w:p>
    <w:p w:rsidR="00952923" w:rsidRPr="00AC04FC" w:rsidRDefault="00952923" w:rsidP="00952923">
      <w:pPr>
        <w:rPr>
          <w:sz w:val="28"/>
          <w:szCs w:val="28"/>
        </w:rPr>
      </w:pPr>
    </w:p>
    <w:p w:rsidR="00952923" w:rsidRDefault="00952923" w:rsidP="00952923">
      <w:pPr>
        <w:rPr>
          <w:rFonts w:ascii="AvantGarde" w:hAnsi="AvantGarde"/>
        </w:rPr>
      </w:pPr>
    </w:p>
    <w:p w:rsidR="00952923" w:rsidRPr="005651D3" w:rsidRDefault="00952923" w:rsidP="00952923">
      <w:pPr>
        <w:rPr>
          <w:rFonts w:ascii="AvantGarde" w:hAnsi="AvantGarde"/>
          <w:b/>
        </w:rPr>
      </w:pPr>
      <w:r w:rsidRPr="005651D3">
        <w:rPr>
          <w:rFonts w:ascii="AvantGarde" w:hAnsi="AvantGarde"/>
          <w:b/>
          <w:sz w:val="28"/>
          <w:szCs w:val="28"/>
        </w:rPr>
        <w:t xml:space="preserve">CALMAC Study ID </w:t>
      </w:r>
      <w:r w:rsidR="00656559">
        <w:rPr>
          <w:rFonts w:ascii="AvantGarde" w:hAnsi="AvantGarde"/>
          <w:b/>
          <w:sz w:val="28"/>
          <w:szCs w:val="28"/>
        </w:rPr>
        <w:t>PGE</w:t>
      </w:r>
      <w:r w:rsidR="00AC1E24">
        <w:rPr>
          <w:rFonts w:ascii="AvantGarde" w:hAnsi="AvantGarde"/>
          <w:b/>
          <w:sz w:val="28"/>
          <w:szCs w:val="28"/>
        </w:rPr>
        <w:t>0356</w:t>
      </w:r>
    </w:p>
    <w:p w:rsidR="00952923" w:rsidRDefault="00952923" w:rsidP="00952923">
      <w:pPr>
        <w:rPr>
          <w:rFonts w:ascii="AvantGarde" w:hAnsi="AvantGarde"/>
        </w:rPr>
      </w:pPr>
    </w:p>
    <w:p w:rsidR="00952923" w:rsidRDefault="00952923" w:rsidP="00952923">
      <w:pPr>
        <w:rPr>
          <w:rFonts w:ascii="AvantGarde" w:hAnsi="AvantGarde"/>
        </w:rPr>
      </w:pPr>
    </w:p>
    <w:p w:rsidR="00952923" w:rsidRPr="003601DE" w:rsidRDefault="00952923" w:rsidP="00952923">
      <w:pPr>
        <w:rPr>
          <w:rFonts w:ascii="AvantGarde" w:hAnsi="AvantGarde"/>
          <w:lang w:val="nb-NO"/>
        </w:rPr>
      </w:pPr>
      <w:r w:rsidRPr="003601DE">
        <w:rPr>
          <w:rFonts w:ascii="AvantGarde" w:hAnsi="AvantGarde"/>
          <w:lang w:val="nb-NO"/>
        </w:rPr>
        <w:t>Steven D. Braithwait</w:t>
      </w:r>
    </w:p>
    <w:p w:rsidR="00952923" w:rsidRDefault="00952923" w:rsidP="00952923">
      <w:pPr>
        <w:rPr>
          <w:rFonts w:ascii="AvantGarde" w:hAnsi="AvantGarde"/>
          <w:lang w:val="nb-NO"/>
        </w:rPr>
      </w:pPr>
      <w:r w:rsidRPr="003601DE">
        <w:rPr>
          <w:rFonts w:ascii="AvantGarde" w:hAnsi="AvantGarde"/>
          <w:lang w:val="nb-NO"/>
        </w:rPr>
        <w:t>Daniel G. Hansen</w:t>
      </w:r>
    </w:p>
    <w:p w:rsidR="00952923" w:rsidRPr="003601DE" w:rsidRDefault="00952923" w:rsidP="00952923">
      <w:pPr>
        <w:rPr>
          <w:rFonts w:ascii="AvantGarde" w:hAnsi="AvantGarde"/>
        </w:rPr>
      </w:pPr>
      <w:r>
        <w:rPr>
          <w:rFonts w:ascii="AvantGarde" w:hAnsi="AvantGarde"/>
        </w:rPr>
        <w:t>David A. Armstrong</w:t>
      </w:r>
    </w:p>
    <w:p w:rsidR="00952923" w:rsidRPr="003601DE" w:rsidRDefault="00952923" w:rsidP="00952923">
      <w:pPr>
        <w:rPr>
          <w:rFonts w:ascii="AvantGarde" w:hAnsi="AvantGarde"/>
        </w:rPr>
      </w:pPr>
    </w:p>
    <w:p w:rsidR="00952923" w:rsidRPr="003601DE" w:rsidRDefault="00952923" w:rsidP="00952923">
      <w:pPr>
        <w:rPr>
          <w:rFonts w:ascii="AvantGarde" w:hAnsi="AvantGarde"/>
        </w:rPr>
      </w:pPr>
    </w:p>
    <w:p w:rsidR="00952923" w:rsidRPr="003601DE" w:rsidRDefault="00B91A05" w:rsidP="00952923">
      <w:pPr>
        <w:rPr>
          <w:rFonts w:ascii="AvantGarde" w:hAnsi="AvantGarde"/>
          <w:i/>
        </w:rPr>
        <w:sectPr w:rsidR="00952923" w:rsidRPr="003601DE" w:rsidSect="00952923">
          <w:headerReference w:type="default" r:id="rId8"/>
          <w:footerReference w:type="even" r:id="rId9"/>
          <w:footerReference w:type="default" r:id="rId10"/>
          <w:pgSz w:w="12240" w:h="15840"/>
          <w:pgMar w:top="4863" w:right="432" w:bottom="2520" w:left="6754" w:header="2880" w:footer="1890" w:gutter="0"/>
          <w:pgNumType w:fmt="lowerRoman"/>
          <w:cols w:space="720"/>
          <w:docGrid w:linePitch="360"/>
        </w:sectPr>
      </w:pPr>
      <w:r>
        <w:rPr>
          <w:rFonts w:ascii="AvantGarde" w:hAnsi="AvantGarde"/>
          <w:i/>
        </w:rPr>
        <w:t>April</w:t>
      </w:r>
      <w:r w:rsidR="005333BC" w:rsidRPr="00CD1FEB">
        <w:rPr>
          <w:rFonts w:ascii="AvantGarde" w:hAnsi="AvantGarde"/>
          <w:i/>
        </w:rPr>
        <w:t xml:space="preserve"> </w:t>
      </w:r>
      <w:r>
        <w:rPr>
          <w:rFonts w:ascii="AvantGarde" w:hAnsi="AvantGarde"/>
          <w:i/>
        </w:rPr>
        <w:t>1</w:t>
      </w:r>
      <w:r w:rsidR="00952923" w:rsidRPr="00CD1FEB">
        <w:rPr>
          <w:rFonts w:ascii="AvantGarde" w:hAnsi="AvantGarde"/>
          <w:i/>
        </w:rPr>
        <w:t>, 201</w:t>
      </w:r>
      <w:r w:rsidR="00E76ACE" w:rsidRPr="00CD1FEB">
        <w:rPr>
          <w:rFonts w:ascii="AvantGarde" w:hAnsi="AvantGarde"/>
          <w:i/>
        </w:rPr>
        <w:t>5</w:t>
      </w:r>
      <w:r w:rsidR="003837C6" w:rsidRPr="00CD1FEB">
        <w:rPr>
          <w:rFonts w:ascii="AvantGarde" w:hAnsi="AvantGarde"/>
          <w:i/>
        </w:rPr>
        <w:t xml:space="preserve"> </w:t>
      </w:r>
    </w:p>
    <w:p w:rsidR="00952923" w:rsidRPr="009D1511" w:rsidRDefault="00952923" w:rsidP="00952923">
      <w:pPr>
        <w:pStyle w:val="TOC1"/>
      </w:pPr>
      <w:r w:rsidRPr="009D1511">
        <w:lastRenderedPageBreak/>
        <w:t>Table of Contents</w:t>
      </w:r>
    </w:p>
    <w:p w:rsidR="00952923" w:rsidRDefault="00952923" w:rsidP="00952923">
      <w:pPr>
        <w:pStyle w:val="TOC3"/>
      </w:pPr>
    </w:p>
    <w:p w:rsidR="00EE00AA" w:rsidRDefault="00952923">
      <w:pPr>
        <w:pStyle w:val="TOC1"/>
        <w:rPr>
          <w:rFonts w:asciiTheme="minorHAnsi" w:eastAsiaTheme="minorEastAsia" w:hAnsiTheme="minorHAnsi" w:cstheme="minorBidi"/>
          <w:b w:val="0"/>
          <w:noProof/>
          <w:sz w:val="22"/>
          <w:szCs w:val="22"/>
        </w:rPr>
      </w:pPr>
      <w:r w:rsidRPr="00421999">
        <w:rPr>
          <w:sz w:val="22"/>
          <w:szCs w:val="22"/>
        </w:rPr>
        <w:fldChar w:fldCharType="begin"/>
      </w:r>
      <w:r w:rsidRPr="00421999">
        <w:rPr>
          <w:sz w:val="22"/>
          <w:szCs w:val="22"/>
        </w:rPr>
        <w:instrText xml:space="preserve"> TOC \o "1-3" \h \z \u </w:instrText>
      </w:r>
      <w:r w:rsidRPr="00421999">
        <w:rPr>
          <w:sz w:val="22"/>
          <w:szCs w:val="22"/>
        </w:rPr>
        <w:fldChar w:fldCharType="separate"/>
      </w:r>
      <w:hyperlink w:anchor="_Toc415231730" w:history="1">
        <w:r w:rsidR="00EE00AA" w:rsidRPr="00FC66C5">
          <w:rPr>
            <w:rStyle w:val="Hyperlink"/>
            <w:noProof/>
          </w:rPr>
          <w:t>Abstract</w:t>
        </w:r>
        <w:r w:rsidR="00EE00AA">
          <w:rPr>
            <w:noProof/>
            <w:webHidden/>
          </w:rPr>
          <w:tab/>
        </w:r>
        <w:r w:rsidR="00EE00AA">
          <w:rPr>
            <w:noProof/>
            <w:webHidden/>
          </w:rPr>
          <w:fldChar w:fldCharType="begin"/>
        </w:r>
        <w:r w:rsidR="00EE00AA">
          <w:rPr>
            <w:noProof/>
            <w:webHidden/>
          </w:rPr>
          <w:instrText xml:space="preserve"> PAGEREF _Toc415231730 \h </w:instrText>
        </w:r>
        <w:r w:rsidR="00EE00AA">
          <w:rPr>
            <w:noProof/>
            <w:webHidden/>
          </w:rPr>
        </w:r>
        <w:r w:rsidR="00EE00AA">
          <w:rPr>
            <w:noProof/>
            <w:webHidden/>
          </w:rPr>
          <w:fldChar w:fldCharType="separate"/>
        </w:r>
        <w:r w:rsidR="00EE00AA">
          <w:rPr>
            <w:noProof/>
            <w:webHidden/>
          </w:rPr>
          <w:t>7</w:t>
        </w:r>
        <w:r w:rsidR="00EE00AA">
          <w:rPr>
            <w:noProof/>
            <w:webHidden/>
          </w:rPr>
          <w:fldChar w:fldCharType="end"/>
        </w:r>
      </w:hyperlink>
    </w:p>
    <w:p w:rsidR="00EE00AA" w:rsidRDefault="00030F3E">
      <w:pPr>
        <w:pStyle w:val="TOC1"/>
        <w:rPr>
          <w:rFonts w:asciiTheme="minorHAnsi" w:eastAsiaTheme="minorEastAsia" w:hAnsiTheme="minorHAnsi" w:cstheme="minorBidi"/>
          <w:b w:val="0"/>
          <w:noProof/>
          <w:sz w:val="22"/>
          <w:szCs w:val="22"/>
        </w:rPr>
      </w:pPr>
      <w:hyperlink w:anchor="_Toc415231731" w:history="1">
        <w:r w:rsidR="00EE00AA" w:rsidRPr="00FC66C5">
          <w:rPr>
            <w:rStyle w:val="Hyperlink"/>
            <w:noProof/>
          </w:rPr>
          <w:t>Executive Summary</w:t>
        </w:r>
        <w:r w:rsidR="00EE00AA">
          <w:rPr>
            <w:noProof/>
            <w:webHidden/>
          </w:rPr>
          <w:tab/>
        </w:r>
        <w:r w:rsidR="00EE00AA">
          <w:rPr>
            <w:noProof/>
            <w:webHidden/>
          </w:rPr>
          <w:fldChar w:fldCharType="begin"/>
        </w:r>
        <w:r w:rsidR="00EE00AA">
          <w:rPr>
            <w:noProof/>
            <w:webHidden/>
          </w:rPr>
          <w:instrText xml:space="preserve"> PAGEREF _Toc415231731 \h </w:instrText>
        </w:r>
        <w:r w:rsidR="00EE00AA">
          <w:rPr>
            <w:noProof/>
            <w:webHidden/>
          </w:rPr>
        </w:r>
        <w:r w:rsidR="00EE00AA">
          <w:rPr>
            <w:noProof/>
            <w:webHidden/>
          </w:rPr>
          <w:fldChar w:fldCharType="separate"/>
        </w:r>
        <w:r w:rsidR="00EE00AA">
          <w:rPr>
            <w:noProof/>
            <w:webHidden/>
          </w:rPr>
          <w:t>9</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32" w:history="1">
        <w:r w:rsidR="00EE00AA" w:rsidRPr="00FC66C5">
          <w:rPr>
            <w:rStyle w:val="Hyperlink"/>
            <w:noProof/>
          </w:rPr>
          <w:t>ES.1 Program Resources</w:t>
        </w:r>
        <w:r w:rsidR="00EE00AA">
          <w:rPr>
            <w:noProof/>
            <w:webHidden/>
          </w:rPr>
          <w:tab/>
        </w:r>
        <w:r w:rsidR="00EE00AA">
          <w:rPr>
            <w:noProof/>
            <w:webHidden/>
          </w:rPr>
          <w:fldChar w:fldCharType="begin"/>
        </w:r>
        <w:r w:rsidR="00EE00AA">
          <w:rPr>
            <w:noProof/>
            <w:webHidden/>
          </w:rPr>
          <w:instrText xml:space="preserve"> PAGEREF _Toc415231732 \h </w:instrText>
        </w:r>
        <w:r w:rsidR="00EE00AA">
          <w:rPr>
            <w:noProof/>
            <w:webHidden/>
          </w:rPr>
        </w:r>
        <w:r w:rsidR="00EE00AA">
          <w:rPr>
            <w:noProof/>
            <w:webHidden/>
          </w:rPr>
          <w:fldChar w:fldCharType="separate"/>
        </w:r>
        <w:r w:rsidR="00EE00AA">
          <w:rPr>
            <w:noProof/>
            <w:webHidden/>
          </w:rPr>
          <w:t>9</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33" w:history="1">
        <w:r w:rsidR="00EE00AA" w:rsidRPr="00FC66C5">
          <w:rPr>
            <w:rStyle w:val="Hyperlink"/>
            <w:noProof/>
          </w:rPr>
          <w:t>Capacity Bidding Program (CBP)</w:t>
        </w:r>
        <w:r w:rsidR="00EE00AA">
          <w:rPr>
            <w:noProof/>
            <w:webHidden/>
          </w:rPr>
          <w:tab/>
        </w:r>
        <w:r w:rsidR="00EE00AA">
          <w:rPr>
            <w:noProof/>
            <w:webHidden/>
          </w:rPr>
          <w:fldChar w:fldCharType="begin"/>
        </w:r>
        <w:r w:rsidR="00EE00AA">
          <w:rPr>
            <w:noProof/>
            <w:webHidden/>
          </w:rPr>
          <w:instrText xml:space="preserve"> PAGEREF _Toc415231733 \h </w:instrText>
        </w:r>
        <w:r w:rsidR="00EE00AA">
          <w:rPr>
            <w:noProof/>
            <w:webHidden/>
          </w:rPr>
        </w:r>
        <w:r w:rsidR="00EE00AA">
          <w:rPr>
            <w:noProof/>
            <w:webHidden/>
          </w:rPr>
          <w:fldChar w:fldCharType="separate"/>
        </w:r>
        <w:r w:rsidR="00EE00AA">
          <w:rPr>
            <w:noProof/>
            <w:webHidden/>
          </w:rPr>
          <w:t>9</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34" w:history="1">
        <w:r w:rsidR="00EE00AA" w:rsidRPr="00FC66C5">
          <w:rPr>
            <w:rStyle w:val="Hyperlink"/>
            <w:noProof/>
          </w:rPr>
          <w:t>Aggregator Managed Portfolio (AMP)</w:t>
        </w:r>
        <w:r w:rsidR="00EE00AA">
          <w:rPr>
            <w:noProof/>
            <w:webHidden/>
          </w:rPr>
          <w:tab/>
        </w:r>
        <w:r w:rsidR="00EE00AA">
          <w:rPr>
            <w:noProof/>
            <w:webHidden/>
          </w:rPr>
          <w:fldChar w:fldCharType="begin"/>
        </w:r>
        <w:r w:rsidR="00EE00AA">
          <w:rPr>
            <w:noProof/>
            <w:webHidden/>
          </w:rPr>
          <w:instrText xml:space="preserve"> PAGEREF _Toc415231734 \h </w:instrText>
        </w:r>
        <w:r w:rsidR="00EE00AA">
          <w:rPr>
            <w:noProof/>
            <w:webHidden/>
          </w:rPr>
        </w:r>
        <w:r w:rsidR="00EE00AA">
          <w:rPr>
            <w:noProof/>
            <w:webHidden/>
          </w:rPr>
          <w:fldChar w:fldCharType="separate"/>
        </w:r>
        <w:r w:rsidR="00EE00AA">
          <w:rPr>
            <w:noProof/>
            <w:webHidden/>
          </w:rPr>
          <w:t>10</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35" w:history="1">
        <w:r w:rsidR="00EE00AA" w:rsidRPr="00FC66C5">
          <w:rPr>
            <w:rStyle w:val="Hyperlink"/>
            <w:noProof/>
          </w:rPr>
          <w:t>Program enrollment/nominations</w:t>
        </w:r>
        <w:r w:rsidR="00EE00AA">
          <w:rPr>
            <w:noProof/>
            <w:webHidden/>
          </w:rPr>
          <w:tab/>
        </w:r>
        <w:r w:rsidR="00EE00AA">
          <w:rPr>
            <w:noProof/>
            <w:webHidden/>
          </w:rPr>
          <w:fldChar w:fldCharType="begin"/>
        </w:r>
        <w:r w:rsidR="00EE00AA">
          <w:rPr>
            <w:noProof/>
            <w:webHidden/>
          </w:rPr>
          <w:instrText xml:space="preserve"> PAGEREF _Toc415231735 \h </w:instrText>
        </w:r>
        <w:r w:rsidR="00EE00AA">
          <w:rPr>
            <w:noProof/>
            <w:webHidden/>
          </w:rPr>
        </w:r>
        <w:r w:rsidR="00EE00AA">
          <w:rPr>
            <w:noProof/>
            <w:webHidden/>
          </w:rPr>
          <w:fldChar w:fldCharType="separate"/>
        </w:r>
        <w:r w:rsidR="00EE00AA">
          <w:rPr>
            <w:noProof/>
            <w:webHidden/>
          </w:rPr>
          <w:t>10</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36" w:history="1">
        <w:r w:rsidR="00EE00AA" w:rsidRPr="00FC66C5">
          <w:rPr>
            <w:rStyle w:val="Hyperlink"/>
            <w:noProof/>
          </w:rPr>
          <w:t>ES.2 Summary of Study Findings</w:t>
        </w:r>
        <w:r w:rsidR="00EE00AA">
          <w:rPr>
            <w:noProof/>
            <w:webHidden/>
          </w:rPr>
          <w:tab/>
        </w:r>
        <w:r w:rsidR="00EE00AA">
          <w:rPr>
            <w:noProof/>
            <w:webHidden/>
          </w:rPr>
          <w:fldChar w:fldCharType="begin"/>
        </w:r>
        <w:r w:rsidR="00EE00AA">
          <w:rPr>
            <w:noProof/>
            <w:webHidden/>
          </w:rPr>
          <w:instrText xml:space="preserve"> PAGEREF _Toc415231736 \h </w:instrText>
        </w:r>
        <w:r w:rsidR="00EE00AA">
          <w:rPr>
            <w:noProof/>
            <w:webHidden/>
          </w:rPr>
        </w:r>
        <w:r w:rsidR="00EE00AA">
          <w:rPr>
            <w:noProof/>
            <w:webHidden/>
          </w:rPr>
          <w:fldChar w:fldCharType="separate"/>
        </w:r>
        <w:r w:rsidR="00EE00AA">
          <w:rPr>
            <w:noProof/>
            <w:webHidden/>
          </w:rPr>
          <w:t>11</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37" w:history="1">
        <w:r w:rsidR="00EE00AA" w:rsidRPr="00FC66C5">
          <w:rPr>
            <w:rStyle w:val="Hyperlink"/>
            <w:noProof/>
          </w:rPr>
          <w:t>Events called</w:t>
        </w:r>
        <w:r w:rsidR="00EE00AA">
          <w:rPr>
            <w:noProof/>
            <w:webHidden/>
          </w:rPr>
          <w:tab/>
        </w:r>
        <w:r w:rsidR="00EE00AA">
          <w:rPr>
            <w:noProof/>
            <w:webHidden/>
          </w:rPr>
          <w:fldChar w:fldCharType="begin"/>
        </w:r>
        <w:r w:rsidR="00EE00AA">
          <w:rPr>
            <w:noProof/>
            <w:webHidden/>
          </w:rPr>
          <w:instrText xml:space="preserve"> PAGEREF _Toc415231737 \h </w:instrText>
        </w:r>
        <w:r w:rsidR="00EE00AA">
          <w:rPr>
            <w:noProof/>
            <w:webHidden/>
          </w:rPr>
        </w:r>
        <w:r w:rsidR="00EE00AA">
          <w:rPr>
            <w:noProof/>
            <w:webHidden/>
          </w:rPr>
          <w:fldChar w:fldCharType="separate"/>
        </w:r>
        <w:r w:rsidR="00EE00AA">
          <w:rPr>
            <w:noProof/>
            <w:webHidden/>
          </w:rPr>
          <w:t>11</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38" w:history="1">
        <w:r w:rsidR="00EE00AA" w:rsidRPr="00FC66C5">
          <w:rPr>
            <w:rStyle w:val="Hyperlink"/>
            <w:noProof/>
          </w:rPr>
          <w:t>Estimated ex-post load impacts</w:t>
        </w:r>
        <w:r w:rsidR="00EE00AA">
          <w:rPr>
            <w:noProof/>
            <w:webHidden/>
          </w:rPr>
          <w:tab/>
        </w:r>
        <w:r w:rsidR="00EE00AA">
          <w:rPr>
            <w:noProof/>
            <w:webHidden/>
          </w:rPr>
          <w:fldChar w:fldCharType="begin"/>
        </w:r>
        <w:r w:rsidR="00EE00AA">
          <w:rPr>
            <w:noProof/>
            <w:webHidden/>
          </w:rPr>
          <w:instrText xml:space="preserve"> PAGEREF _Toc415231738 \h </w:instrText>
        </w:r>
        <w:r w:rsidR="00EE00AA">
          <w:rPr>
            <w:noProof/>
            <w:webHidden/>
          </w:rPr>
        </w:r>
        <w:r w:rsidR="00EE00AA">
          <w:rPr>
            <w:noProof/>
            <w:webHidden/>
          </w:rPr>
          <w:fldChar w:fldCharType="separate"/>
        </w:r>
        <w:r w:rsidR="00EE00AA">
          <w:rPr>
            <w:noProof/>
            <w:webHidden/>
          </w:rPr>
          <w:t>11</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39" w:history="1">
        <w:r w:rsidR="00EE00AA" w:rsidRPr="00FC66C5">
          <w:rPr>
            <w:rStyle w:val="Hyperlink"/>
            <w:noProof/>
          </w:rPr>
          <w:t>Ex-ante load impacts</w:t>
        </w:r>
        <w:r w:rsidR="00EE00AA">
          <w:rPr>
            <w:noProof/>
            <w:webHidden/>
          </w:rPr>
          <w:tab/>
        </w:r>
        <w:r w:rsidR="00EE00AA">
          <w:rPr>
            <w:noProof/>
            <w:webHidden/>
          </w:rPr>
          <w:fldChar w:fldCharType="begin"/>
        </w:r>
        <w:r w:rsidR="00EE00AA">
          <w:rPr>
            <w:noProof/>
            <w:webHidden/>
          </w:rPr>
          <w:instrText xml:space="preserve"> PAGEREF _Toc415231739 \h </w:instrText>
        </w:r>
        <w:r w:rsidR="00EE00AA">
          <w:rPr>
            <w:noProof/>
            <w:webHidden/>
          </w:rPr>
        </w:r>
        <w:r w:rsidR="00EE00AA">
          <w:rPr>
            <w:noProof/>
            <w:webHidden/>
          </w:rPr>
          <w:fldChar w:fldCharType="separate"/>
        </w:r>
        <w:r w:rsidR="00EE00AA">
          <w:rPr>
            <w:noProof/>
            <w:webHidden/>
          </w:rPr>
          <w:t>12</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740" w:history="1">
        <w:r w:rsidR="00EE00AA" w:rsidRPr="00FC66C5">
          <w:rPr>
            <w:rStyle w:val="Hyperlink"/>
            <w:noProof/>
          </w:rPr>
          <w:t>1.</w:t>
        </w:r>
        <w:r w:rsidR="00EE00AA">
          <w:rPr>
            <w:rFonts w:asciiTheme="minorHAnsi" w:eastAsiaTheme="minorEastAsia" w:hAnsiTheme="minorHAnsi" w:cstheme="minorBidi"/>
            <w:b w:val="0"/>
            <w:noProof/>
            <w:sz w:val="22"/>
            <w:szCs w:val="22"/>
          </w:rPr>
          <w:tab/>
        </w:r>
        <w:r w:rsidR="00EE00AA" w:rsidRPr="00FC66C5">
          <w:rPr>
            <w:rStyle w:val="Hyperlink"/>
            <w:noProof/>
          </w:rPr>
          <w:t>Introduction and Objectives of the Study</w:t>
        </w:r>
        <w:r w:rsidR="00EE00AA">
          <w:rPr>
            <w:noProof/>
            <w:webHidden/>
          </w:rPr>
          <w:tab/>
        </w:r>
        <w:r w:rsidR="00EE00AA">
          <w:rPr>
            <w:noProof/>
            <w:webHidden/>
          </w:rPr>
          <w:fldChar w:fldCharType="begin"/>
        </w:r>
        <w:r w:rsidR="00EE00AA">
          <w:rPr>
            <w:noProof/>
            <w:webHidden/>
          </w:rPr>
          <w:instrText xml:space="preserve"> PAGEREF _Toc415231740 \h </w:instrText>
        </w:r>
        <w:r w:rsidR="00EE00AA">
          <w:rPr>
            <w:noProof/>
            <w:webHidden/>
          </w:rPr>
        </w:r>
        <w:r w:rsidR="00EE00AA">
          <w:rPr>
            <w:noProof/>
            <w:webHidden/>
          </w:rPr>
          <w:fldChar w:fldCharType="separate"/>
        </w:r>
        <w:r w:rsidR="00EE00AA">
          <w:rPr>
            <w:noProof/>
            <w:webHidden/>
          </w:rPr>
          <w:t>13</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741" w:history="1">
        <w:r w:rsidR="00EE00AA" w:rsidRPr="00FC66C5">
          <w:rPr>
            <w:rStyle w:val="Hyperlink"/>
            <w:noProof/>
          </w:rPr>
          <w:t>2.</w:t>
        </w:r>
        <w:r w:rsidR="00EE00AA">
          <w:rPr>
            <w:rFonts w:asciiTheme="minorHAnsi" w:eastAsiaTheme="minorEastAsia" w:hAnsiTheme="minorHAnsi" w:cstheme="minorBidi"/>
            <w:b w:val="0"/>
            <w:noProof/>
            <w:sz w:val="22"/>
            <w:szCs w:val="22"/>
          </w:rPr>
          <w:tab/>
        </w:r>
        <w:r w:rsidR="00EE00AA" w:rsidRPr="00FC66C5">
          <w:rPr>
            <w:rStyle w:val="Hyperlink"/>
            <w:noProof/>
          </w:rPr>
          <w:t>Aggregator DR Program Resources</w:t>
        </w:r>
        <w:r w:rsidR="00EE00AA">
          <w:rPr>
            <w:noProof/>
            <w:webHidden/>
          </w:rPr>
          <w:tab/>
        </w:r>
        <w:r w:rsidR="00EE00AA">
          <w:rPr>
            <w:noProof/>
            <w:webHidden/>
          </w:rPr>
          <w:fldChar w:fldCharType="begin"/>
        </w:r>
        <w:r w:rsidR="00EE00AA">
          <w:rPr>
            <w:noProof/>
            <w:webHidden/>
          </w:rPr>
          <w:instrText xml:space="preserve"> PAGEREF _Toc415231741 \h </w:instrText>
        </w:r>
        <w:r w:rsidR="00EE00AA">
          <w:rPr>
            <w:noProof/>
            <w:webHidden/>
          </w:rPr>
        </w:r>
        <w:r w:rsidR="00EE00AA">
          <w:rPr>
            <w:noProof/>
            <w:webHidden/>
          </w:rPr>
          <w:fldChar w:fldCharType="separate"/>
        </w:r>
        <w:r w:rsidR="00EE00AA">
          <w:rPr>
            <w:noProof/>
            <w:webHidden/>
          </w:rPr>
          <w:t>14</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42" w:history="1">
        <w:r w:rsidR="00EE00AA" w:rsidRPr="00FC66C5">
          <w:rPr>
            <w:rStyle w:val="Hyperlink"/>
            <w:noProof/>
          </w:rPr>
          <w:t>2.1 Capacity Bidding Program (CBP)</w:t>
        </w:r>
        <w:r w:rsidR="00EE00AA">
          <w:rPr>
            <w:noProof/>
            <w:webHidden/>
          </w:rPr>
          <w:tab/>
        </w:r>
        <w:r w:rsidR="00EE00AA">
          <w:rPr>
            <w:noProof/>
            <w:webHidden/>
          </w:rPr>
          <w:fldChar w:fldCharType="begin"/>
        </w:r>
        <w:r w:rsidR="00EE00AA">
          <w:rPr>
            <w:noProof/>
            <w:webHidden/>
          </w:rPr>
          <w:instrText xml:space="preserve"> PAGEREF _Toc415231742 \h </w:instrText>
        </w:r>
        <w:r w:rsidR="00EE00AA">
          <w:rPr>
            <w:noProof/>
            <w:webHidden/>
          </w:rPr>
        </w:r>
        <w:r w:rsidR="00EE00AA">
          <w:rPr>
            <w:noProof/>
            <w:webHidden/>
          </w:rPr>
          <w:fldChar w:fldCharType="separate"/>
        </w:r>
        <w:r w:rsidR="00EE00AA">
          <w:rPr>
            <w:noProof/>
            <w:webHidden/>
          </w:rPr>
          <w:t>14</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43" w:history="1">
        <w:r w:rsidR="00EE00AA" w:rsidRPr="00FC66C5">
          <w:rPr>
            <w:rStyle w:val="Hyperlink"/>
            <w:noProof/>
          </w:rPr>
          <w:t>2.2 Aggregator Managed Portfolio (AMP)</w:t>
        </w:r>
        <w:r w:rsidR="00EE00AA">
          <w:rPr>
            <w:noProof/>
            <w:webHidden/>
          </w:rPr>
          <w:tab/>
        </w:r>
        <w:r w:rsidR="00EE00AA">
          <w:rPr>
            <w:noProof/>
            <w:webHidden/>
          </w:rPr>
          <w:fldChar w:fldCharType="begin"/>
        </w:r>
        <w:r w:rsidR="00EE00AA">
          <w:rPr>
            <w:noProof/>
            <w:webHidden/>
          </w:rPr>
          <w:instrText xml:space="preserve"> PAGEREF _Toc415231743 \h </w:instrText>
        </w:r>
        <w:r w:rsidR="00EE00AA">
          <w:rPr>
            <w:noProof/>
            <w:webHidden/>
          </w:rPr>
        </w:r>
        <w:r w:rsidR="00EE00AA">
          <w:rPr>
            <w:noProof/>
            <w:webHidden/>
          </w:rPr>
          <w:fldChar w:fldCharType="separate"/>
        </w:r>
        <w:r w:rsidR="00EE00AA">
          <w:rPr>
            <w:noProof/>
            <w:webHidden/>
          </w:rPr>
          <w:t>16</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44" w:history="1">
        <w:r w:rsidR="00EE00AA" w:rsidRPr="00FC66C5">
          <w:rPr>
            <w:rStyle w:val="Hyperlink"/>
            <w:noProof/>
          </w:rPr>
          <w:t>2.2.1 PG&amp;E’s AMP</w:t>
        </w:r>
        <w:r w:rsidR="00EE00AA">
          <w:rPr>
            <w:noProof/>
            <w:webHidden/>
          </w:rPr>
          <w:tab/>
        </w:r>
        <w:r w:rsidR="00EE00AA">
          <w:rPr>
            <w:noProof/>
            <w:webHidden/>
          </w:rPr>
          <w:fldChar w:fldCharType="begin"/>
        </w:r>
        <w:r w:rsidR="00EE00AA">
          <w:rPr>
            <w:noProof/>
            <w:webHidden/>
          </w:rPr>
          <w:instrText xml:space="preserve"> PAGEREF _Toc415231744 \h </w:instrText>
        </w:r>
        <w:r w:rsidR="00EE00AA">
          <w:rPr>
            <w:noProof/>
            <w:webHidden/>
          </w:rPr>
        </w:r>
        <w:r w:rsidR="00EE00AA">
          <w:rPr>
            <w:noProof/>
            <w:webHidden/>
          </w:rPr>
          <w:fldChar w:fldCharType="separate"/>
        </w:r>
        <w:r w:rsidR="00EE00AA">
          <w:rPr>
            <w:noProof/>
            <w:webHidden/>
          </w:rPr>
          <w:t>16</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45" w:history="1">
        <w:r w:rsidR="00EE00AA" w:rsidRPr="00FC66C5">
          <w:rPr>
            <w:rStyle w:val="Hyperlink"/>
            <w:noProof/>
          </w:rPr>
          <w:t>2.2.2 SCE’s AMP</w:t>
        </w:r>
        <w:r w:rsidR="00EE00AA">
          <w:rPr>
            <w:noProof/>
            <w:webHidden/>
          </w:rPr>
          <w:tab/>
        </w:r>
        <w:r w:rsidR="00EE00AA">
          <w:rPr>
            <w:noProof/>
            <w:webHidden/>
          </w:rPr>
          <w:fldChar w:fldCharType="begin"/>
        </w:r>
        <w:r w:rsidR="00EE00AA">
          <w:rPr>
            <w:noProof/>
            <w:webHidden/>
          </w:rPr>
          <w:instrText xml:space="preserve"> PAGEREF _Toc415231745 \h </w:instrText>
        </w:r>
        <w:r w:rsidR="00EE00AA">
          <w:rPr>
            <w:noProof/>
            <w:webHidden/>
          </w:rPr>
        </w:r>
        <w:r w:rsidR="00EE00AA">
          <w:rPr>
            <w:noProof/>
            <w:webHidden/>
          </w:rPr>
          <w:fldChar w:fldCharType="separate"/>
        </w:r>
        <w:r w:rsidR="00EE00AA">
          <w:rPr>
            <w:noProof/>
            <w:webHidden/>
          </w:rPr>
          <w:t>17</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746" w:history="1">
        <w:r w:rsidR="00EE00AA" w:rsidRPr="00FC66C5">
          <w:rPr>
            <w:rStyle w:val="Hyperlink"/>
            <w:noProof/>
          </w:rPr>
          <w:t>3.</w:t>
        </w:r>
        <w:r w:rsidR="00EE00AA">
          <w:rPr>
            <w:rFonts w:asciiTheme="minorHAnsi" w:eastAsiaTheme="minorEastAsia" w:hAnsiTheme="minorHAnsi" w:cstheme="minorBidi"/>
            <w:b w:val="0"/>
            <w:noProof/>
            <w:sz w:val="22"/>
            <w:szCs w:val="22"/>
          </w:rPr>
          <w:tab/>
        </w:r>
        <w:r w:rsidR="00EE00AA" w:rsidRPr="00FC66C5">
          <w:rPr>
            <w:rStyle w:val="Hyperlink"/>
            <w:noProof/>
          </w:rPr>
          <w:t>Study Methods</w:t>
        </w:r>
        <w:r w:rsidR="00EE00AA">
          <w:rPr>
            <w:noProof/>
            <w:webHidden/>
          </w:rPr>
          <w:tab/>
        </w:r>
        <w:r w:rsidR="00EE00AA">
          <w:rPr>
            <w:noProof/>
            <w:webHidden/>
          </w:rPr>
          <w:fldChar w:fldCharType="begin"/>
        </w:r>
        <w:r w:rsidR="00EE00AA">
          <w:rPr>
            <w:noProof/>
            <w:webHidden/>
          </w:rPr>
          <w:instrText xml:space="preserve"> PAGEREF _Toc415231746 \h </w:instrText>
        </w:r>
        <w:r w:rsidR="00EE00AA">
          <w:rPr>
            <w:noProof/>
            <w:webHidden/>
          </w:rPr>
        </w:r>
        <w:r w:rsidR="00EE00AA">
          <w:rPr>
            <w:noProof/>
            <w:webHidden/>
          </w:rPr>
          <w:fldChar w:fldCharType="separate"/>
        </w:r>
        <w:r w:rsidR="00EE00AA">
          <w:rPr>
            <w:noProof/>
            <w:webHidden/>
          </w:rPr>
          <w:t>18</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47" w:history="1">
        <w:r w:rsidR="00EE00AA" w:rsidRPr="00FC66C5">
          <w:rPr>
            <w:rStyle w:val="Hyperlink"/>
            <w:noProof/>
          </w:rPr>
          <w:t>3.1 Overview</w:t>
        </w:r>
        <w:r w:rsidR="00EE00AA">
          <w:rPr>
            <w:noProof/>
            <w:webHidden/>
          </w:rPr>
          <w:tab/>
        </w:r>
        <w:r w:rsidR="00EE00AA">
          <w:rPr>
            <w:noProof/>
            <w:webHidden/>
          </w:rPr>
          <w:fldChar w:fldCharType="begin"/>
        </w:r>
        <w:r w:rsidR="00EE00AA">
          <w:rPr>
            <w:noProof/>
            <w:webHidden/>
          </w:rPr>
          <w:instrText xml:space="preserve"> PAGEREF _Toc415231747 \h </w:instrText>
        </w:r>
        <w:r w:rsidR="00EE00AA">
          <w:rPr>
            <w:noProof/>
            <w:webHidden/>
          </w:rPr>
        </w:r>
        <w:r w:rsidR="00EE00AA">
          <w:rPr>
            <w:noProof/>
            <w:webHidden/>
          </w:rPr>
          <w:fldChar w:fldCharType="separate"/>
        </w:r>
        <w:r w:rsidR="00EE00AA">
          <w:rPr>
            <w:noProof/>
            <w:webHidden/>
          </w:rPr>
          <w:t>18</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48" w:history="1">
        <w:r w:rsidR="00EE00AA" w:rsidRPr="00FC66C5">
          <w:rPr>
            <w:rStyle w:val="Hyperlink"/>
            <w:noProof/>
          </w:rPr>
          <w:t>3.2 Description of ex-post estimation methods</w:t>
        </w:r>
        <w:r w:rsidR="00EE00AA">
          <w:rPr>
            <w:noProof/>
            <w:webHidden/>
          </w:rPr>
          <w:tab/>
        </w:r>
        <w:r w:rsidR="00EE00AA">
          <w:rPr>
            <w:noProof/>
            <w:webHidden/>
          </w:rPr>
          <w:fldChar w:fldCharType="begin"/>
        </w:r>
        <w:r w:rsidR="00EE00AA">
          <w:rPr>
            <w:noProof/>
            <w:webHidden/>
          </w:rPr>
          <w:instrText xml:space="preserve"> PAGEREF _Toc415231748 \h </w:instrText>
        </w:r>
        <w:r w:rsidR="00EE00AA">
          <w:rPr>
            <w:noProof/>
            <w:webHidden/>
          </w:rPr>
        </w:r>
        <w:r w:rsidR="00EE00AA">
          <w:rPr>
            <w:noProof/>
            <w:webHidden/>
          </w:rPr>
          <w:fldChar w:fldCharType="separate"/>
        </w:r>
        <w:r w:rsidR="00EE00AA">
          <w:rPr>
            <w:noProof/>
            <w:webHidden/>
          </w:rPr>
          <w:t>19</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49" w:history="1">
        <w:r w:rsidR="00EE00AA" w:rsidRPr="00FC66C5">
          <w:rPr>
            <w:rStyle w:val="Hyperlink"/>
            <w:noProof/>
          </w:rPr>
          <w:t>3.2.1 Regression Model</w:t>
        </w:r>
        <w:r w:rsidR="00EE00AA">
          <w:rPr>
            <w:noProof/>
            <w:webHidden/>
          </w:rPr>
          <w:tab/>
        </w:r>
        <w:r w:rsidR="00EE00AA">
          <w:rPr>
            <w:noProof/>
            <w:webHidden/>
          </w:rPr>
          <w:fldChar w:fldCharType="begin"/>
        </w:r>
        <w:r w:rsidR="00EE00AA">
          <w:rPr>
            <w:noProof/>
            <w:webHidden/>
          </w:rPr>
          <w:instrText xml:space="preserve"> PAGEREF _Toc415231749 \h </w:instrText>
        </w:r>
        <w:r w:rsidR="00EE00AA">
          <w:rPr>
            <w:noProof/>
            <w:webHidden/>
          </w:rPr>
        </w:r>
        <w:r w:rsidR="00EE00AA">
          <w:rPr>
            <w:noProof/>
            <w:webHidden/>
          </w:rPr>
          <w:fldChar w:fldCharType="separate"/>
        </w:r>
        <w:r w:rsidR="00EE00AA">
          <w:rPr>
            <w:noProof/>
            <w:webHidden/>
          </w:rPr>
          <w:t>19</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50" w:history="1">
        <w:r w:rsidR="00EE00AA" w:rsidRPr="00FC66C5">
          <w:rPr>
            <w:rStyle w:val="Hyperlink"/>
            <w:noProof/>
          </w:rPr>
          <w:t>3.2.2 Development of Uncertainty-Adjusted Load Impacts</w:t>
        </w:r>
        <w:r w:rsidR="00EE00AA">
          <w:rPr>
            <w:noProof/>
            <w:webHidden/>
          </w:rPr>
          <w:tab/>
        </w:r>
        <w:r w:rsidR="00EE00AA">
          <w:rPr>
            <w:noProof/>
            <w:webHidden/>
          </w:rPr>
          <w:fldChar w:fldCharType="begin"/>
        </w:r>
        <w:r w:rsidR="00EE00AA">
          <w:rPr>
            <w:noProof/>
            <w:webHidden/>
          </w:rPr>
          <w:instrText xml:space="preserve"> PAGEREF _Toc415231750 \h </w:instrText>
        </w:r>
        <w:r w:rsidR="00EE00AA">
          <w:rPr>
            <w:noProof/>
            <w:webHidden/>
          </w:rPr>
        </w:r>
        <w:r w:rsidR="00EE00AA">
          <w:rPr>
            <w:noProof/>
            <w:webHidden/>
          </w:rPr>
          <w:fldChar w:fldCharType="separate"/>
        </w:r>
        <w:r w:rsidR="00EE00AA">
          <w:rPr>
            <w:noProof/>
            <w:webHidden/>
          </w:rPr>
          <w:t>21</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751" w:history="1">
        <w:r w:rsidR="00EE00AA" w:rsidRPr="00FC66C5">
          <w:rPr>
            <w:rStyle w:val="Hyperlink"/>
            <w:noProof/>
          </w:rPr>
          <w:t>4.</w:t>
        </w:r>
        <w:r w:rsidR="00EE00AA">
          <w:rPr>
            <w:rFonts w:asciiTheme="minorHAnsi" w:eastAsiaTheme="minorEastAsia" w:hAnsiTheme="minorHAnsi" w:cstheme="minorBidi"/>
            <w:b w:val="0"/>
            <w:noProof/>
            <w:sz w:val="22"/>
            <w:szCs w:val="22"/>
          </w:rPr>
          <w:tab/>
        </w:r>
        <w:r w:rsidR="00EE00AA" w:rsidRPr="00FC66C5">
          <w:rPr>
            <w:rStyle w:val="Hyperlink"/>
            <w:noProof/>
          </w:rPr>
          <w:t xml:space="preserve">Study Results – CBP </w:t>
        </w:r>
        <w:r w:rsidR="00EE00AA" w:rsidRPr="00FC66C5">
          <w:rPr>
            <w:rStyle w:val="Hyperlink"/>
            <w:i/>
            <w:noProof/>
          </w:rPr>
          <w:t>Ex-post</w:t>
        </w:r>
        <w:r w:rsidR="00EE00AA" w:rsidRPr="00FC66C5">
          <w:rPr>
            <w:rStyle w:val="Hyperlink"/>
            <w:noProof/>
          </w:rPr>
          <w:t xml:space="preserve"> Load Impacts</w:t>
        </w:r>
        <w:r w:rsidR="00EE00AA">
          <w:rPr>
            <w:noProof/>
            <w:webHidden/>
          </w:rPr>
          <w:tab/>
        </w:r>
        <w:r w:rsidR="00EE00AA">
          <w:rPr>
            <w:noProof/>
            <w:webHidden/>
          </w:rPr>
          <w:fldChar w:fldCharType="begin"/>
        </w:r>
        <w:r w:rsidR="00EE00AA">
          <w:rPr>
            <w:noProof/>
            <w:webHidden/>
          </w:rPr>
          <w:instrText xml:space="preserve"> PAGEREF _Toc415231751 \h </w:instrText>
        </w:r>
        <w:r w:rsidR="00EE00AA">
          <w:rPr>
            <w:noProof/>
            <w:webHidden/>
          </w:rPr>
        </w:r>
        <w:r w:rsidR="00EE00AA">
          <w:rPr>
            <w:noProof/>
            <w:webHidden/>
          </w:rPr>
          <w:fldChar w:fldCharType="separate"/>
        </w:r>
        <w:r w:rsidR="00EE00AA">
          <w:rPr>
            <w:noProof/>
            <w:webHidden/>
          </w:rPr>
          <w:t>21</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52" w:history="1">
        <w:r w:rsidR="00EE00AA" w:rsidRPr="00FC66C5">
          <w:rPr>
            <w:rStyle w:val="Hyperlink"/>
            <w:noProof/>
          </w:rPr>
          <w:t>4.1 Capacity Bidding Program (CBP) – PG&amp;E</w:t>
        </w:r>
        <w:r w:rsidR="00EE00AA">
          <w:rPr>
            <w:noProof/>
            <w:webHidden/>
          </w:rPr>
          <w:tab/>
        </w:r>
        <w:r w:rsidR="00EE00AA">
          <w:rPr>
            <w:noProof/>
            <w:webHidden/>
          </w:rPr>
          <w:fldChar w:fldCharType="begin"/>
        </w:r>
        <w:r w:rsidR="00EE00AA">
          <w:rPr>
            <w:noProof/>
            <w:webHidden/>
          </w:rPr>
          <w:instrText xml:space="preserve"> PAGEREF _Toc415231752 \h </w:instrText>
        </w:r>
        <w:r w:rsidR="00EE00AA">
          <w:rPr>
            <w:noProof/>
            <w:webHidden/>
          </w:rPr>
        </w:r>
        <w:r w:rsidR="00EE00AA">
          <w:rPr>
            <w:noProof/>
            <w:webHidden/>
          </w:rPr>
          <w:fldChar w:fldCharType="separate"/>
        </w:r>
        <w:r w:rsidR="00EE00AA">
          <w:rPr>
            <w:noProof/>
            <w:webHidden/>
          </w:rPr>
          <w:t>22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53" w:history="1">
        <w:r w:rsidR="00EE00AA" w:rsidRPr="00FC66C5">
          <w:rPr>
            <w:rStyle w:val="Hyperlink"/>
            <w:noProof/>
          </w:rPr>
          <w:t>4.1.1 Events for PG&amp;E CBP</w:t>
        </w:r>
        <w:r w:rsidR="00EE00AA">
          <w:rPr>
            <w:noProof/>
            <w:webHidden/>
          </w:rPr>
          <w:tab/>
        </w:r>
        <w:r w:rsidR="00EE00AA">
          <w:rPr>
            <w:noProof/>
            <w:webHidden/>
          </w:rPr>
          <w:fldChar w:fldCharType="begin"/>
        </w:r>
        <w:r w:rsidR="00EE00AA">
          <w:rPr>
            <w:noProof/>
            <w:webHidden/>
          </w:rPr>
          <w:instrText xml:space="preserve"> PAGEREF _Toc415231753 \h </w:instrText>
        </w:r>
        <w:r w:rsidR="00EE00AA">
          <w:rPr>
            <w:noProof/>
            <w:webHidden/>
          </w:rPr>
        </w:r>
        <w:r w:rsidR="00EE00AA">
          <w:rPr>
            <w:noProof/>
            <w:webHidden/>
          </w:rPr>
          <w:fldChar w:fldCharType="separate"/>
        </w:r>
        <w:r w:rsidR="00EE00AA">
          <w:rPr>
            <w:noProof/>
            <w:webHidden/>
          </w:rPr>
          <w:t>22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54" w:history="1">
        <w:r w:rsidR="00EE00AA" w:rsidRPr="00FC66C5">
          <w:rPr>
            <w:rStyle w:val="Hyperlink"/>
            <w:noProof/>
          </w:rPr>
          <w:t>4.1.2 Summary load impacts</w:t>
        </w:r>
        <w:r w:rsidR="00EE00AA">
          <w:rPr>
            <w:noProof/>
            <w:webHidden/>
          </w:rPr>
          <w:tab/>
        </w:r>
        <w:r w:rsidR="00EE00AA">
          <w:rPr>
            <w:noProof/>
            <w:webHidden/>
          </w:rPr>
          <w:fldChar w:fldCharType="begin"/>
        </w:r>
        <w:r w:rsidR="00EE00AA">
          <w:rPr>
            <w:noProof/>
            <w:webHidden/>
          </w:rPr>
          <w:instrText xml:space="preserve"> PAGEREF _Toc415231754 \h </w:instrText>
        </w:r>
        <w:r w:rsidR="00EE00AA">
          <w:rPr>
            <w:noProof/>
            <w:webHidden/>
          </w:rPr>
        </w:r>
        <w:r w:rsidR="00EE00AA">
          <w:rPr>
            <w:noProof/>
            <w:webHidden/>
          </w:rPr>
          <w:fldChar w:fldCharType="separate"/>
        </w:r>
        <w:r w:rsidR="00EE00AA">
          <w:rPr>
            <w:noProof/>
            <w:webHidden/>
          </w:rPr>
          <w:t>24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55" w:history="1">
        <w:r w:rsidR="00EE00AA" w:rsidRPr="00FC66C5">
          <w:rPr>
            <w:rStyle w:val="Hyperlink"/>
            <w:noProof/>
          </w:rPr>
          <w:t>4.1.3 Hourly load impacts</w:t>
        </w:r>
        <w:r w:rsidR="00EE00AA">
          <w:rPr>
            <w:noProof/>
            <w:webHidden/>
          </w:rPr>
          <w:tab/>
        </w:r>
        <w:r w:rsidR="00EE00AA">
          <w:rPr>
            <w:noProof/>
            <w:webHidden/>
          </w:rPr>
          <w:fldChar w:fldCharType="begin"/>
        </w:r>
        <w:r w:rsidR="00EE00AA">
          <w:rPr>
            <w:noProof/>
            <w:webHidden/>
          </w:rPr>
          <w:instrText xml:space="preserve"> PAGEREF _Toc415231755 \h </w:instrText>
        </w:r>
        <w:r w:rsidR="00EE00AA">
          <w:rPr>
            <w:noProof/>
            <w:webHidden/>
          </w:rPr>
        </w:r>
        <w:r w:rsidR="00EE00AA">
          <w:rPr>
            <w:noProof/>
            <w:webHidden/>
          </w:rPr>
          <w:fldChar w:fldCharType="separate"/>
        </w:r>
        <w:r w:rsidR="00EE00AA">
          <w:rPr>
            <w:noProof/>
            <w:webHidden/>
          </w:rPr>
          <w:t>27</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56" w:history="1">
        <w:r w:rsidR="00EE00AA" w:rsidRPr="00FC66C5">
          <w:rPr>
            <w:rStyle w:val="Hyperlink"/>
            <w:noProof/>
          </w:rPr>
          <w:t>4.1.4 Load impacts of TA/TI and AutoDR participants</w:t>
        </w:r>
        <w:r w:rsidR="00EE00AA">
          <w:rPr>
            <w:noProof/>
            <w:webHidden/>
          </w:rPr>
          <w:tab/>
        </w:r>
        <w:r w:rsidR="00EE00AA">
          <w:rPr>
            <w:noProof/>
            <w:webHidden/>
          </w:rPr>
          <w:fldChar w:fldCharType="begin"/>
        </w:r>
        <w:r w:rsidR="00EE00AA">
          <w:rPr>
            <w:noProof/>
            <w:webHidden/>
          </w:rPr>
          <w:instrText xml:space="preserve"> PAGEREF _Toc415231756 \h </w:instrText>
        </w:r>
        <w:r w:rsidR="00EE00AA">
          <w:rPr>
            <w:noProof/>
            <w:webHidden/>
          </w:rPr>
        </w:r>
        <w:r w:rsidR="00EE00AA">
          <w:rPr>
            <w:noProof/>
            <w:webHidden/>
          </w:rPr>
          <w:fldChar w:fldCharType="separate"/>
        </w:r>
        <w:r w:rsidR="00EE00AA">
          <w:rPr>
            <w:noProof/>
            <w:webHidden/>
          </w:rPr>
          <w:t>29</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57" w:history="1">
        <w:r w:rsidR="00EE00AA" w:rsidRPr="00FC66C5">
          <w:rPr>
            <w:rStyle w:val="Hyperlink"/>
            <w:noProof/>
          </w:rPr>
          <w:t>4.2 Capacity Bidding Program (CBP) – SCE</w:t>
        </w:r>
        <w:r w:rsidR="00EE00AA">
          <w:rPr>
            <w:noProof/>
            <w:webHidden/>
          </w:rPr>
          <w:tab/>
        </w:r>
        <w:r w:rsidR="00EE00AA">
          <w:rPr>
            <w:noProof/>
            <w:webHidden/>
          </w:rPr>
          <w:fldChar w:fldCharType="begin"/>
        </w:r>
        <w:r w:rsidR="00EE00AA">
          <w:rPr>
            <w:noProof/>
            <w:webHidden/>
          </w:rPr>
          <w:instrText xml:space="preserve"> PAGEREF _Toc415231757 \h </w:instrText>
        </w:r>
        <w:r w:rsidR="00EE00AA">
          <w:rPr>
            <w:noProof/>
            <w:webHidden/>
          </w:rPr>
        </w:r>
        <w:r w:rsidR="00EE00AA">
          <w:rPr>
            <w:noProof/>
            <w:webHidden/>
          </w:rPr>
          <w:fldChar w:fldCharType="separate"/>
        </w:r>
        <w:r w:rsidR="00EE00AA">
          <w:rPr>
            <w:noProof/>
            <w:webHidden/>
          </w:rPr>
          <w:t>32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58" w:history="1">
        <w:r w:rsidR="00EE00AA" w:rsidRPr="00FC66C5">
          <w:rPr>
            <w:rStyle w:val="Hyperlink"/>
            <w:noProof/>
          </w:rPr>
          <w:t>4.2.1 Events for SCE CBP</w:t>
        </w:r>
        <w:r w:rsidR="00EE00AA">
          <w:rPr>
            <w:noProof/>
            <w:webHidden/>
          </w:rPr>
          <w:tab/>
        </w:r>
        <w:r w:rsidR="00EE00AA">
          <w:rPr>
            <w:noProof/>
            <w:webHidden/>
          </w:rPr>
          <w:fldChar w:fldCharType="begin"/>
        </w:r>
        <w:r w:rsidR="00EE00AA">
          <w:rPr>
            <w:noProof/>
            <w:webHidden/>
          </w:rPr>
          <w:instrText xml:space="preserve"> PAGEREF _Toc415231758 \h </w:instrText>
        </w:r>
        <w:r w:rsidR="00EE00AA">
          <w:rPr>
            <w:noProof/>
            <w:webHidden/>
          </w:rPr>
        </w:r>
        <w:r w:rsidR="00EE00AA">
          <w:rPr>
            <w:noProof/>
            <w:webHidden/>
          </w:rPr>
          <w:fldChar w:fldCharType="separate"/>
        </w:r>
        <w:r w:rsidR="00EE00AA">
          <w:rPr>
            <w:noProof/>
            <w:webHidden/>
          </w:rPr>
          <w:t>32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59" w:history="1">
        <w:r w:rsidR="00EE00AA" w:rsidRPr="00FC66C5">
          <w:rPr>
            <w:rStyle w:val="Hyperlink"/>
            <w:noProof/>
          </w:rPr>
          <w:t>4.2.2 Summary load impacts</w:t>
        </w:r>
        <w:r w:rsidR="00EE00AA">
          <w:rPr>
            <w:noProof/>
            <w:webHidden/>
          </w:rPr>
          <w:tab/>
        </w:r>
        <w:r w:rsidR="00EE00AA">
          <w:rPr>
            <w:noProof/>
            <w:webHidden/>
          </w:rPr>
          <w:fldChar w:fldCharType="begin"/>
        </w:r>
        <w:r w:rsidR="00EE00AA">
          <w:rPr>
            <w:noProof/>
            <w:webHidden/>
          </w:rPr>
          <w:instrText xml:space="preserve"> PAGEREF _Toc415231759 \h </w:instrText>
        </w:r>
        <w:r w:rsidR="00EE00AA">
          <w:rPr>
            <w:noProof/>
            <w:webHidden/>
          </w:rPr>
        </w:r>
        <w:r w:rsidR="00EE00AA">
          <w:rPr>
            <w:noProof/>
            <w:webHidden/>
          </w:rPr>
          <w:fldChar w:fldCharType="separate"/>
        </w:r>
        <w:r w:rsidR="00EE00AA">
          <w:rPr>
            <w:noProof/>
            <w:webHidden/>
          </w:rPr>
          <w:t>34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60" w:history="1">
        <w:r w:rsidR="00EE00AA" w:rsidRPr="00FC66C5">
          <w:rPr>
            <w:rStyle w:val="Hyperlink"/>
            <w:noProof/>
          </w:rPr>
          <w:t>4.2.3 Hourly load impacts</w:t>
        </w:r>
        <w:r w:rsidR="00EE00AA">
          <w:rPr>
            <w:noProof/>
            <w:webHidden/>
          </w:rPr>
          <w:tab/>
        </w:r>
        <w:r w:rsidR="00EE00AA">
          <w:rPr>
            <w:noProof/>
            <w:webHidden/>
          </w:rPr>
          <w:fldChar w:fldCharType="begin"/>
        </w:r>
        <w:r w:rsidR="00EE00AA">
          <w:rPr>
            <w:noProof/>
            <w:webHidden/>
          </w:rPr>
          <w:instrText xml:space="preserve"> PAGEREF _Toc415231760 \h </w:instrText>
        </w:r>
        <w:r w:rsidR="00EE00AA">
          <w:rPr>
            <w:noProof/>
            <w:webHidden/>
          </w:rPr>
        </w:r>
        <w:r w:rsidR="00EE00AA">
          <w:rPr>
            <w:noProof/>
            <w:webHidden/>
          </w:rPr>
          <w:fldChar w:fldCharType="separate"/>
        </w:r>
        <w:r w:rsidR="00EE00AA">
          <w:rPr>
            <w:noProof/>
            <w:webHidden/>
          </w:rPr>
          <w:t>39</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61" w:history="1">
        <w:r w:rsidR="00EE00AA" w:rsidRPr="00FC66C5">
          <w:rPr>
            <w:rStyle w:val="Hyperlink"/>
            <w:noProof/>
          </w:rPr>
          <w:t>4.2.4 Load impacts of TA/TI and AutoDR participants</w:t>
        </w:r>
        <w:r w:rsidR="00EE00AA">
          <w:rPr>
            <w:noProof/>
            <w:webHidden/>
          </w:rPr>
          <w:tab/>
        </w:r>
        <w:r w:rsidR="00EE00AA">
          <w:rPr>
            <w:noProof/>
            <w:webHidden/>
          </w:rPr>
          <w:fldChar w:fldCharType="begin"/>
        </w:r>
        <w:r w:rsidR="00EE00AA">
          <w:rPr>
            <w:noProof/>
            <w:webHidden/>
          </w:rPr>
          <w:instrText xml:space="preserve"> PAGEREF _Toc415231761 \h </w:instrText>
        </w:r>
        <w:r w:rsidR="00EE00AA">
          <w:rPr>
            <w:noProof/>
            <w:webHidden/>
          </w:rPr>
        </w:r>
        <w:r w:rsidR="00EE00AA">
          <w:rPr>
            <w:noProof/>
            <w:webHidden/>
          </w:rPr>
          <w:fldChar w:fldCharType="separate"/>
        </w:r>
        <w:r w:rsidR="00EE00AA">
          <w:rPr>
            <w:noProof/>
            <w:webHidden/>
          </w:rPr>
          <w:t>39</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62" w:history="1">
        <w:r w:rsidR="00EE00AA" w:rsidRPr="00FC66C5">
          <w:rPr>
            <w:rStyle w:val="Hyperlink"/>
            <w:noProof/>
          </w:rPr>
          <w:t>4.3 Capacity Bidding Program (CBP) – SDG&amp;E</w:t>
        </w:r>
        <w:r w:rsidR="00EE00AA">
          <w:rPr>
            <w:noProof/>
            <w:webHidden/>
          </w:rPr>
          <w:tab/>
        </w:r>
        <w:r w:rsidR="00EE00AA">
          <w:rPr>
            <w:noProof/>
            <w:webHidden/>
          </w:rPr>
          <w:fldChar w:fldCharType="begin"/>
        </w:r>
        <w:r w:rsidR="00EE00AA">
          <w:rPr>
            <w:noProof/>
            <w:webHidden/>
          </w:rPr>
          <w:instrText xml:space="preserve"> PAGEREF _Toc415231762 \h </w:instrText>
        </w:r>
        <w:r w:rsidR="00EE00AA">
          <w:rPr>
            <w:noProof/>
            <w:webHidden/>
          </w:rPr>
        </w:r>
        <w:r w:rsidR="00EE00AA">
          <w:rPr>
            <w:noProof/>
            <w:webHidden/>
          </w:rPr>
          <w:fldChar w:fldCharType="separate"/>
        </w:r>
        <w:r w:rsidR="00EE00AA">
          <w:rPr>
            <w:noProof/>
            <w:webHidden/>
          </w:rPr>
          <w:t>42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63" w:history="1">
        <w:r w:rsidR="00EE00AA" w:rsidRPr="00FC66C5">
          <w:rPr>
            <w:rStyle w:val="Hyperlink"/>
            <w:noProof/>
          </w:rPr>
          <w:t>4.3.1 Events for SDG&amp;E CBP</w:t>
        </w:r>
        <w:r w:rsidR="00EE00AA">
          <w:rPr>
            <w:noProof/>
            <w:webHidden/>
          </w:rPr>
          <w:tab/>
        </w:r>
        <w:r w:rsidR="00EE00AA">
          <w:rPr>
            <w:noProof/>
            <w:webHidden/>
          </w:rPr>
          <w:fldChar w:fldCharType="begin"/>
        </w:r>
        <w:r w:rsidR="00EE00AA">
          <w:rPr>
            <w:noProof/>
            <w:webHidden/>
          </w:rPr>
          <w:instrText xml:space="preserve"> PAGEREF _Toc415231763 \h </w:instrText>
        </w:r>
        <w:r w:rsidR="00EE00AA">
          <w:rPr>
            <w:noProof/>
            <w:webHidden/>
          </w:rPr>
        </w:r>
        <w:r w:rsidR="00EE00AA">
          <w:rPr>
            <w:noProof/>
            <w:webHidden/>
          </w:rPr>
          <w:fldChar w:fldCharType="separate"/>
        </w:r>
        <w:r w:rsidR="00EE00AA">
          <w:rPr>
            <w:noProof/>
            <w:webHidden/>
          </w:rPr>
          <w:t>42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64" w:history="1">
        <w:r w:rsidR="00EE00AA" w:rsidRPr="00FC66C5">
          <w:rPr>
            <w:rStyle w:val="Hyperlink"/>
            <w:noProof/>
          </w:rPr>
          <w:t>4.3.2 Summary load impacts</w:t>
        </w:r>
        <w:r w:rsidR="00EE00AA">
          <w:rPr>
            <w:noProof/>
            <w:webHidden/>
          </w:rPr>
          <w:tab/>
        </w:r>
        <w:r w:rsidR="00EE00AA">
          <w:rPr>
            <w:noProof/>
            <w:webHidden/>
          </w:rPr>
          <w:fldChar w:fldCharType="begin"/>
        </w:r>
        <w:r w:rsidR="00EE00AA">
          <w:rPr>
            <w:noProof/>
            <w:webHidden/>
          </w:rPr>
          <w:instrText xml:space="preserve"> PAGEREF _Toc415231764 \h </w:instrText>
        </w:r>
        <w:r w:rsidR="00EE00AA">
          <w:rPr>
            <w:noProof/>
            <w:webHidden/>
          </w:rPr>
        </w:r>
        <w:r w:rsidR="00EE00AA">
          <w:rPr>
            <w:noProof/>
            <w:webHidden/>
          </w:rPr>
          <w:fldChar w:fldCharType="separate"/>
        </w:r>
        <w:r w:rsidR="00EE00AA">
          <w:rPr>
            <w:noProof/>
            <w:webHidden/>
          </w:rPr>
          <w:t>42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65" w:history="1">
        <w:r w:rsidR="00EE00AA" w:rsidRPr="00FC66C5">
          <w:rPr>
            <w:rStyle w:val="Hyperlink"/>
            <w:noProof/>
          </w:rPr>
          <w:t>4.3.3 Hourly load impacts</w:t>
        </w:r>
        <w:r w:rsidR="00EE00AA">
          <w:rPr>
            <w:noProof/>
            <w:webHidden/>
          </w:rPr>
          <w:tab/>
        </w:r>
        <w:r w:rsidR="00EE00AA">
          <w:rPr>
            <w:noProof/>
            <w:webHidden/>
          </w:rPr>
          <w:fldChar w:fldCharType="begin"/>
        </w:r>
        <w:r w:rsidR="00EE00AA">
          <w:rPr>
            <w:noProof/>
            <w:webHidden/>
          </w:rPr>
          <w:instrText xml:space="preserve"> PAGEREF _Toc415231765 \h </w:instrText>
        </w:r>
        <w:r w:rsidR="00EE00AA">
          <w:rPr>
            <w:noProof/>
            <w:webHidden/>
          </w:rPr>
        </w:r>
        <w:r w:rsidR="00EE00AA">
          <w:rPr>
            <w:noProof/>
            <w:webHidden/>
          </w:rPr>
          <w:fldChar w:fldCharType="separate"/>
        </w:r>
        <w:r w:rsidR="00EE00AA">
          <w:rPr>
            <w:noProof/>
            <w:webHidden/>
          </w:rPr>
          <w:t>44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66" w:history="1">
        <w:r w:rsidR="00EE00AA" w:rsidRPr="00FC66C5">
          <w:rPr>
            <w:rStyle w:val="Hyperlink"/>
            <w:noProof/>
          </w:rPr>
          <w:t>4.2.4 Load impacts of TA/TI and AutoDR participants</w:t>
        </w:r>
        <w:r w:rsidR="00EE00AA">
          <w:rPr>
            <w:noProof/>
            <w:webHidden/>
          </w:rPr>
          <w:tab/>
        </w:r>
        <w:r w:rsidR="00EE00AA">
          <w:rPr>
            <w:noProof/>
            <w:webHidden/>
          </w:rPr>
          <w:fldChar w:fldCharType="begin"/>
        </w:r>
        <w:r w:rsidR="00EE00AA">
          <w:rPr>
            <w:noProof/>
            <w:webHidden/>
          </w:rPr>
          <w:instrText xml:space="preserve"> PAGEREF _Toc415231766 \h </w:instrText>
        </w:r>
        <w:r w:rsidR="00EE00AA">
          <w:rPr>
            <w:noProof/>
            <w:webHidden/>
          </w:rPr>
        </w:r>
        <w:r w:rsidR="00EE00AA">
          <w:rPr>
            <w:noProof/>
            <w:webHidden/>
          </w:rPr>
          <w:fldChar w:fldCharType="separate"/>
        </w:r>
        <w:r w:rsidR="00EE00AA">
          <w:rPr>
            <w:noProof/>
            <w:webHidden/>
          </w:rPr>
          <w:t>45</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767" w:history="1">
        <w:r w:rsidR="00EE00AA" w:rsidRPr="00FC66C5">
          <w:rPr>
            <w:rStyle w:val="Hyperlink"/>
            <w:noProof/>
          </w:rPr>
          <w:t>5.</w:t>
        </w:r>
        <w:r w:rsidR="00EE00AA">
          <w:rPr>
            <w:rFonts w:asciiTheme="minorHAnsi" w:eastAsiaTheme="minorEastAsia" w:hAnsiTheme="minorHAnsi" w:cstheme="minorBidi"/>
            <w:b w:val="0"/>
            <w:noProof/>
            <w:sz w:val="22"/>
            <w:szCs w:val="22"/>
          </w:rPr>
          <w:tab/>
        </w:r>
        <w:r w:rsidR="00EE00AA" w:rsidRPr="00FC66C5">
          <w:rPr>
            <w:rStyle w:val="Hyperlink"/>
            <w:noProof/>
          </w:rPr>
          <w:t xml:space="preserve">Study Results – </w:t>
        </w:r>
        <w:r w:rsidR="00EE00AA" w:rsidRPr="00FC66C5">
          <w:rPr>
            <w:rStyle w:val="Hyperlink"/>
            <w:i/>
            <w:noProof/>
          </w:rPr>
          <w:t>Ex-post</w:t>
        </w:r>
        <w:r w:rsidR="00EE00AA" w:rsidRPr="00FC66C5">
          <w:rPr>
            <w:rStyle w:val="Hyperlink"/>
            <w:noProof/>
          </w:rPr>
          <w:t xml:space="preserve"> Load Impacts for AMP Programs</w:t>
        </w:r>
        <w:r w:rsidR="00EE00AA">
          <w:rPr>
            <w:noProof/>
            <w:webHidden/>
          </w:rPr>
          <w:tab/>
        </w:r>
        <w:r w:rsidR="00EE00AA">
          <w:rPr>
            <w:noProof/>
            <w:webHidden/>
          </w:rPr>
          <w:fldChar w:fldCharType="begin"/>
        </w:r>
        <w:r w:rsidR="00EE00AA">
          <w:rPr>
            <w:noProof/>
            <w:webHidden/>
          </w:rPr>
          <w:instrText xml:space="preserve"> PAGEREF _Toc415231767 \h </w:instrText>
        </w:r>
        <w:r w:rsidR="00EE00AA">
          <w:rPr>
            <w:noProof/>
            <w:webHidden/>
          </w:rPr>
        </w:r>
        <w:r w:rsidR="00EE00AA">
          <w:rPr>
            <w:noProof/>
            <w:webHidden/>
          </w:rPr>
          <w:fldChar w:fldCharType="separate"/>
        </w:r>
        <w:r w:rsidR="00EE00AA">
          <w:rPr>
            <w:noProof/>
            <w:webHidden/>
          </w:rPr>
          <w:t>48</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68" w:history="1">
        <w:r w:rsidR="00EE00AA" w:rsidRPr="00FC66C5">
          <w:rPr>
            <w:rStyle w:val="Hyperlink"/>
            <w:noProof/>
          </w:rPr>
          <w:t>5.1 PG&amp;E Aggregator Managed Portfolio (AMP)</w:t>
        </w:r>
        <w:r w:rsidR="00EE00AA">
          <w:rPr>
            <w:noProof/>
            <w:webHidden/>
          </w:rPr>
          <w:tab/>
        </w:r>
        <w:r w:rsidR="00EE00AA">
          <w:rPr>
            <w:noProof/>
            <w:webHidden/>
          </w:rPr>
          <w:fldChar w:fldCharType="begin"/>
        </w:r>
        <w:r w:rsidR="00EE00AA">
          <w:rPr>
            <w:noProof/>
            <w:webHidden/>
          </w:rPr>
          <w:instrText xml:space="preserve"> PAGEREF _Toc415231768 \h </w:instrText>
        </w:r>
        <w:r w:rsidR="00EE00AA">
          <w:rPr>
            <w:noProof/>
            <w:webHidden/>
          </w:rPr>
        </w:r>
        <w:r w:rsidR="00EE00AA">
          <w:rPr>
            <w:noProof/>
            <w:webHidden/>
          </w:rPr>
          <w:fldChar w:fldCharType="separate"/>
        </w:r>
        <w:r w:rsidR="00EE00AA">
          <w:rPr>
            <w:noProof/>
            <w:webHidden/>
          </w:rPr>
          <w:t>48</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69" w:history="1">
        <w:r w:rsidR="00EE00AA" w:rsidRPr="00FC66C5">
          <w:rPr>
            <w:rStyle w:val="Hyperlink"/>
            <w:noProof/>
          </w:rPr>
          <w:t>5.1.1 Event Characteristics for PG&amp;E AMP</w:t>
        </w:r>
        <w:r w:rsidR="00EE00AA">
          <w:rPr>
            <w:noProof/>
            <w:webHidden/>
          </w:rPr>
          <w:tab/>
        </w:r>
        <w:r w:rsidR="00EE00AA">
          <w:rPr>
            <w:noProof/>
            <w:webHidden/>
          </w:rPr>
          <w:fldChar w:fldCharType="begin"/>
        </w:r>
        <w:r w:rsidR="00EE00AA">
          <w:rPr>
            <w:noProof/>
            <w:webHidden/>
          </w:rPr>
          <w:instrText xml:space="preserve"> PAGEREF _Toc415231769 \h </w:instrText>
        </w:r>
        <w:r w:rsidR="00EE00AA">
          <w:rPr>
            <w:noProof/>
            <w:webHidden/>
          </w:rPr>
        </w:r>
        <w:r w:rsidR="00EE00AA">
          <w:rPr>
            <w:noProof/>
            <w:webHidden/>
          </w:rPr>
          <w:fldChar w:fldCharType="separate"/>
        </w:r>
        <w:r w:rsidR="00EE00AA">
          <w:rPr>
            <w:noProof/>
            <w:webHidden/>
          </w:rPr>
          <w:t>48</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70" w:history="1">
        <w:r w:rsidR="00EE00AA" w:rsidRPr="00FC66C5">
          <w:rPr>
            <w:rStyle w:val="Hyperlink"/>
            <w:noProof/>
          </w:rPr>
          <w:t>5.1.2 Summary load impacts</w:t>
        </w:r>
        <w:r w:rsidR="00EE00AA">
          <w:rPr>
            <w:noProof/>
            <w:webHidden/>
          </w:rPr>
          <w:tab/>
        </w:r>
        <w:r w:rsidR="00EE00AA">
          <w:rPr>
            <w:noProof/>
            <w:webHidden/>
          </w:rPr>
          <w:fldChar w:fldCharType="begin"/>
        </w:r>
        <w:r w:rsidR="00EE00AA">
          <w:rPr>
            <w:noProof/>
            <w:webHidden/>
          </w:rPr>
          <w:instrText xml:space="preserve"> PAGEREF _Toc415231770 \h </w:instrText>
        </w:r>
        <w:r w:rsidR="00EE00AA">
          <w:rPr>
            <w:noProof/>
            <w:webHidden/>
          </w:rPr>
        </w:r>
        <w:r w:rsidR="00EE00AA">
          <w:rPr>
            <w:noProof/>
            <w:webHidden/>
          </w:rPr>
          <w:fldChar w:fldCharType="separate"/>
        </w:r>
        <w:r w:rsidR="00EE00AA">
          <w:rPr>
            <w:noProof/>
            <w:webHidden/>
          </w:rPr>
          <w:t>50</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71" w:history="1">
        <w:r w:rsidR="00EE00AA" w:rsidRPr="00FC66C5">
          <w:rPr>
            <w:rStyle w:val="Hyperlink"/>
            <w:noProof/>
          </w:rPr>
          <w:t>5.1.3 Hourly load impacts</w:t>
        </w:r>
        <w:r w:rsidR="00EE00AA">
          <w:rPr>
            <w:noProof/>
            <w:webHidden/>
          </w:rPr>
          <w:tab/>
        </w:r>
        <w:r w:rsidR="00EE00AA">
          <w:rPr>
            <w:noProof/>
            <w:webHidden/>
          </w:rPr>
          <w:fldChar w:fldCharType="begin"/>
        </w:r>
        <w:r w:rsidR="00EE00AA">
          <w:rPr>
            <w:noProof/>
            <w:webHidden/>
          </w:rPr>
          <w:instrText xml:space="preserve"> PAGEREF _Toc415231771 \h </w:instrText>
        </w:r>
        <w:r w:rsidR="00EE00AA">
          <w:rPr>
            <w:noProof/>
            <w:webHidden/>
          </w:rPr>
        </w:r>
        <w:r w:rsidR="00EE00AA">
          <w:rPr>
            <w:noProof/>
            <w:webHidden/>
          </w:rPr>
          <w:fldChar w:fldCharType="separate"/>
        </w:r>
        <w:r w:rsidR="00EE00AA">
          <w:rPr>
            <w:noProof/>
            <w:webHidden/>
          </w:rPr>
          <w:t>53</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72" w:history="1">
        <w:r w:rsidR="00EE00AA" w:rsidRPr="00FC66C5">
          <w:rPr>
            <w:rStyle w:val="Hyperlink"/>
            <w:noProof/>
          </w:rPr>
          <w:t>5.1.4 Load impacts of TA/TI and AutoDR participants</w:t>
        </w:r>
        <w:r w:rsidR="00EE00AA">
          <w:rPr>
            <w:noProof/>
            <w:webHidden/>
          </w:rPr>
          <w:tab/>
        </w:r>
        <w:r w:rsidR="00EE00AA">
          <w:rPr>
            <w:noProof/>
            <w:webHidden/>
          </w:rPr>
          <w:fldChar w:fldCharType="begin"/>
        </w:r>
        <w:r w:rsidR="00EE00AA">
          <w:rPr>
            <w:noProof/>
            <w:webHidden/>
          </w:rPr>
          <w:instrText xml:space="preserve"> PAGEREF _Toc415231772 \h </w:instrText>
        </w:r>
        <w:r w:rsidR="00EE00AA">
          <w:rPr>
            <w:noProof/>
            <w:webHidden/>
          </w:rPr>
        </w:r>
        <w:r w:rsidR="00EE00AA">
          <w:rPr>
            <w:noProof/>
            <w:webHidden/>
          </w:rPr>
          <w:fldChar w:fldCharType="separate"/>
        </w:r>
        <w:r w:rsidR="00EE00AA">
          <w:rPr>
            <w:noProof/>
            <w:webHidden/>
          </w:rPr>
          <w:t>54</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73" w:history="1">
        <w:r w:rsidR="00EE00AA" w:rsidRPr="00FC66C5">
          <w:rPr>
            <w:rStyle w:val="Hyperlink"/>
            <w:noProof/>
          </w:rPr>
          <w:t>5.2 SCE’s AMP</w:t>
        </w:r>
        <w:r w:rsidR="00EE00AA">
          <w:rPr>
            <w:noProof/>
            <w:webHidden/>
          </w:rPr>
          <w:tab/>
        </w:r>
        <w:r w:rsidR="00EE00AA">
          <w:rPr>
            <w:noProof/>
            <w:webHidden/>
          </w:rPr>
          <w:fldChar w:fldCharType="begin"/>
        </w:r>
        <w:r w:rsidR="00EE00AA">
          <w:rPr>
            <w:noProof/>
            <w:webHidden/>
          </w:rPr>
          <w:instrText xml:space="preserve"> PAGEREF _Toc415231773 \h </w:instrText>
        </w:r>
        <w:r w:rsidR="00EE00AA">
          <w:rPr>
            <w:noProof/>
            <w:webHidden/>
          </w:rPr>
        </w:r>
        <w:r w:rsidR="00EE00AA">
          <w:rPr>
            <w:noProof/>
            <w:webHidden/>
          </w:rPr>
          <w:fldChar w:fldCharType="separate"/>
        </w:r>
        <w:r w:rsidR="00EE00AA">
          <w:rPr>
            <w:noProof/>
            <w:webHidden/>
          </w:rPr>
          <w:t>57</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74" w:history="1">
        <w:r w:rsidR="00EE00AA" w:rsidRPr="00FC66C5">
          <w:rPr>
            <w:rStyle w:val="Hyperlink"/>
            <w:noProof/>
          </w:rPr>
          <w:t>5.2.1 Event Characteristics for SCE AMP</w:t>
        </w:r>
        <w:r w:rsidR="00EE00AA">
          <w:rPr>
            <w:noProof/>
            <w:webHidden/>
          </w:rPr>
          <w:tab/>
        </w:r>
        <w:r w:rsidR="00EE00AA">
          <w:rPr>
            <w:noProof/>
            <w:webHidden/>
          </w:rPr>
          <w:fldChar w:fldCharType="begin"/>
        </w:r>
        <w:r w:rsidR="00EE00AA">
          <w:rPr>
            <w:noProof/>
            <w:webHidden/>
          </w:rPr>
          <w:instrText xml:space="preserve"> PAGEREF _Toc415231774 \h </w:instrText>
        </w:r>
        <w:r w:rsidR="00EE00AA">
          <w:rPr>
            <w:noProof/>
            <w:webHidden/>
          </w:rPr>
        </w:r>
        <w:r w:rsidR="00EE00AA">
          <w:rPr>
            <w:noProof/>
            <w:webHidden/>
          </w:rPr>
          <w:fldChar w:fldCharType="separate"/>
        </w:r>
        <w:r w:rsidR="00EE00AA">
          <w:rPr>
            <w:noProof/>
            <w:webHidden/>
          </w:rPr>
          <w:t>57</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75" w:history="1">
        <w:r w:rsidR="00EE00AA" w:rsidRPr="00FC66C5">
          <w:rPr>
            <w:rStyle w:val="Hyperlink"/>
            <w:noProof/>
          </w:rPr>
          <w:t>5.2.2 Summary load impacts</w:t>
        </w:r>
        <w:r w:rsidR="00EE00AA">
          <w:rPr>
            <w:noProof/>
            <w:webHidden/>
          </w:rPr>
          <w:tab/>
        </w:r>
        <w:r w:rsidR="00EE00AA">
          <w:rPr>
            <w:noProof/>
            <w:webHidden/>
          </w:rPr>
          <w:fldChar w:fldCharType="begin"/>
        </w:r>
        <w:r w:rsidR="00EE00AA">
          <w:rPr>
            <w:noProof/>
            <w:webHidden/>
          </w:rPr>
          <w:instrText xml:space="preserve"> PAGEREF _Toc415231775 \h </w:instrText>
        </w:r>
        <w:r w:rsidR="00EE00AA">
          <w:rPr>
            <w:noProof/>
            <w:webHidden/>
          </w:rPr>
        </w:r>
        <w:r w:rsidR="00EE00AA">
          <w:rPr>
            <w:noProof/>
            <w:webHidden/>
          </w:rPr>
          <w:fldChar w:fldCharType="separate"/>
        </w:r>
        <w:r w:rsidR="00EE00AA">
          <w:rPr>
            <w:noProof/>
            <w:webHidden/>
          </w:rPr>
          <w:t>57</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76" w:history="1">
        <w:r w:rsidR="00EE00AA" w:rsidRPr="00FC66C5">
          <w:rPr>
            <w:rStyle w:val="Hyperlink"/>
            <w:noProof/>
          </w:rPr>
          <w:t>5.2.3 Hourly load impacts</w:t>
        </w:r>
        <w:r w:rsidR="00EE00AA">
          <w:rPr>
            <w:noProof/>
            <w:webHidden/>
          </w:rPr>
          <w:tab/>
        </w:r>
        <w:r w:rsidR="00EE00AA">
          <w:rPr>
            <w:noProof/>
            <w:webHidden/>
          </w:rPr>
          <w:fldChar w:fldCharType="begin"/>
        </w:r>
        <w:r w:rsidR="00EE00AA">
          <w:rPr>
            <w:noProof/>
            <w:webHidden/>
          </w:rPr>
          <w:instrText xml:space="preserve"> PAGEREF _Toc415231776 \h </w:instrText>
        </w:r>
        <w:r w:rsidR="00EE00AA">
          <w:rPr>
            <w:noProof/>
            <w:webHidden/>
          </w:rPr>
        </w:r>
        <w:r w:rsidR="00EE00AA">
          <w:rPr>
            <w:noProof/>
            <w:webHidden/>
          </w:rPr>
          <w:fldChar w:fldCharType="separate"/>
        </w:r>
        <w:r w:rsidR="00EE00AA">
          <w:rPr>
            <w:noProof/>
            <w:webHidden/>
          </w:rPr>
          <w:t>60</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777" w:history="1">
        <w:r w:rsidR="00EE00AA" w:rsidRPr="00FC66C5">
          <w:rPr>
            <w:rStyle w:val="Hyperlink"/>
            <w:noProof/>
          </w:rPr>
          <w:t>6.</w:t>
        </w:r>
        <w:r w:rsidR="00EE00AA">
          <w:rPr>
            <w:rFonts w:asciiTheme="minorHAnsi" w:eastAsiaTheme="minorEastAsia" w:hAnsiTheme="minorHAnsi" w:cstheme="minorBidi"/>
            <w:b w:val="0"/>
            <w:noProof/>
            <w:sz w:val="22"/>
            <w:szCs w:val="22"/>
          </w:rPr>
          <w:tab/>
        </w:r>
        <w:r w:rsidR="00EE00AA" w:rsidRPr="00FC66C5">
          <w:rPr>
            <w:rStyle w:val="Hyperlink"/>
            <w:i/>
            <w:noProof/>
          </w:rPr>
          <w:t>Ex-ante</w:t>
        </w:r>
        <w:r w:rsidR="00EE00AA" w:rsidRPr="00FC66C5">
          <w:rPr>
            <w:rStyle w:val="Hyperlink"/>
            <w:noProof/>
          </w:rPr>
          <w:t xml:space="preserve"> Load Impact Forecasts</w:t>
        </w:r>
        <w:r w:rsidR="00EE00AA">
          <w:rPr>
            <w:noProof/>
            <w:webHidden/>
          </w:rPr>
          <w:tab/>
        </w:r>
        <w:r w:rsidR="00EE00AA">
          <w:rPr>
            <w:noProof/>
            <w:webHidden/>
          </w:rPr>
          <w:fldChar w:fldCharType="begin"/>
        </w:r>
        <w:r w:rsidR="00EE00AA">
          <w:rPr>
            <w:noProof/>
            <w:webHidden/>
          </w:rPr>
          <w:instrText xml:space="preserve"> PAGEREF _Toc415231777 \h </w:instrText>
        </w:r>
        <w:r w:rsidR="00EE00AA">
          <w:rPr>
            <w:noProof/>
            <w:webHidden/>
          </w:rPr>
        </w:r>
        <w:r w:rsidR="00EE00AA">
          <w:rPr>
            <w:noProof/>
            <w:webHidden/>
          </w:rPr>
          <w:fldChar w:fldCharType="separate"/>
        </w:r>
        <w:r w:rsidR="00EE00AA">
          <w:rPr>
            <w:noProof/>
            <w:webHidden/>
          </w:rPr>
          <w:t>64</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78" w:history="1">
        <w:r w:rsidR="00EE00AA" w:rsidRPr="00FC66C5">
          <w:rPr>
            <w:rStyle w:val="Hyperlink"/>
            <w:noProof/>
          </w:rPr>
          <w:t xml:space="preserve">6.1 </w:t>
        </w:r>
        <w:r w:rsidR="00EE00AA" w:rsidRPr="00FC66C5">
          <w:rPr>
            <w:rStyle w:val="Hyperlink"/>
            <w:i/>
            <w:noProof/>
          </w:rPr>
          <w:t>Ex-ante</w:t>
        </w:r>
        <w:r w:rsidR="00EE00AA" w:rsidRPr="00FC66C5">
          <w:rPr>
            <w:rStyle w:val="Hyperlink"/>
            <w:noProof/>
          </w:rPr>
          <w:t xml:space="preserve"> Load Impact Requirements</w:t>
        </w:r>
        <w:r w:rsidR="00EE00AA">
          <w:rPr>
            <w:noProof/>
            <w:webHidden/>
          </w:rPr>
          <w:tab/>
        </w:r>
        <w:r w:rsidR="00EE00AA">
          <w:rPr>
            <w:noProof/>
            <w:webHidden/>
          </w:rPr>
          <w:fldChar w:fldCharType="begin"/>
        </w:r>
        <w:r w:rsidR="00EE00AA">
          <w:rPr>
            <w:noProof/>
            <w:webHidden/>
          </w:rPr>
          <w:instrText xml:space="preserve"> PAGEREF _Toc415231778 \h </w:instrText>
        </w:r>
        <w:r w:rsidR="00EE00AA">
          <w:rPr>
            <w:noProof/>
            <w:webHidden/>
          </w:rPr>
        </w:r>
        <w:r w:rsidR="00EE00AA">
          <w:rPr>
            <w:noProof/>
            <w:webHidden/>
          </w:rPr>
          <w:fldChar w:fldCharType="separate"/>
        </w:r>
        <w:r w:rsidR="00EE00AA">
          <w:rPr>
            <w:noProof/>
            <w:webHidden/>
          </w:rPr>
          <w:t>64</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79" w:history="1">
        <w:r w:rsidR="00EE00AA" w:rsidRPr="00FC66C5">
          <w:rPr>
            <w:rStyle w:val="Hyperlink"/>
            <w:noProof/>
          </w:rPr>
          <w:t>6.2 Description of Methods</w:t>
        </w:r>
        <w:r w:rsidR="00EE00AA">
          <w:rPr>
            <w:noProof/>
            <w:webHidden/>
          </w:rPr>
          <w:tab/>
        </w:r>
        <w:r w:rsidR="00EE00AA">
          <w:rPr>
            <w:noProof/>
            <w:webHidden/>
          </w:rPr>
          <w:fldChar w:fldCharType="begin"/>
        </w:r>
        <w:r w:rsidR="00EE00AA">
          <w:rPr>
            <w:noProof/>
            <w:webHidden/>
          </w:rPr>
          <w:instrText xml:space="preserve"> PAGEREF _Toc415231779 \h </w:instrText>
        </w:r>
        <w:r w:rsidR="00EE00AA">
          <w:rPr>
            <w:noProof/>
            <w:webHidden/>
          </w:rPr>
        </w:r>
        <w:r w:rsidR="00EE00AA">
          <w:rPr>
            <w:noProof/>
            <w:webHidden/>
          </w:rPr>
          <w:fldChar w:fldCharType="separate"/>
        </w:r>
        <w:r w:rsidR="00EE00AA">
          <w:rPr>
            <w:noProof/>
            <w:webHidden/>
          </w:rPr>
          <w:t>64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80" w:history="1">
        <w:r w:rsidR="00EE00AA" w:rsidRPr="00FC66C5">
          <w:rPr>
            <w:rStyle w:val="Hyperlink"/>
            <w:noProof/>
          </w:rPr>
          <w:t>6.2.1 Development of Customer Groups</w:t>
        </w:r>
        <w:r w:rsidR="00EE00AA">
          <w:rPr>
            <w:noProof/>
            <w:webHidden/>
          </w:rPr>
          <w:tab/>
        </w:r>
        <w:r w:rsidR="00EE00AA">
          <w:rPr>
            <w:noProof/>
            <w:webHidden/>
          </w:rPr>
          <w:fldChar w:fldCharType="begin"/>
        </w:r>
        <w:r w:rsidR="00EE00AA">
          <w:rPr>
            <w:noProof/>
            <w:webHidden/>
          </w:rPr>
          <w:instrText xml:space="preserve"> PAGEREF _Toc415231780 \h </w:instrText>
        </w:r>
        <w:r w:rsidR="00EE00AA">
          <w:rPr>
            <w:noProof/>
            <w:webHidden/>
          </w:rPr>
        </w:r>
        <w:r w:rsidR="00EE00AA">
          <w:rPr>
            <w:noProof/>
            <w:webHidden/>
          </w:rPr>
          <w:fldChar w:fldCharType="separate"/>
        </w:r>
        <w:r w:rsidR="00EE00AA">
          <w:rPr>
            <w:noProof/>
            <w:webHidden/>
          </w:rPr>
          <w:t>64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81" w:history="1">
        <w:r w:rsidR="00EE00AA" w:rsidRPr="00FC66C5">
          <w:rPr>
            <w:rStyle w:val="Hyperlink"/>
            <w:noProof/>
          </w:rPr>
          <w:t>6.2.2 Development of Reference Loads and Load Impacts</w:t>
        </w:r>
        <w:r w:rsidR="00EE00AA">
          <w:rPr>
            <w:noProof/>
            <w:webHidden/>
          </w:rPr>
          <w:tab/>
        </w:r>
        <w:r w:rsidR="00EE00AA">
          <w:rPr>
            <w:noProof/>
            <w:webHidden/>
          </w:rPr>
          <w:fldChar w:fldCharType="begin"/>
        </w:r>
        <w:r w:rsidR="00EE00AA">
          <w:rPr>
            <w:noProof/>
            <w:webHidden/>
          </w:rPr>
          <w:instrText xml:space="preserve"> PAGEREF _Toc415231781 \h </w:instrText>
        </w:r>
        <w:r w:rsidR="00EE00AA">
          <w:rPr>
            <w:noProof/>
            <w:webHidden/>
          </w:rPr>
        </w:r>
        <w:r w:rsidR="00EE00AA">
          <w:rPr>
            <w:noProof/>
            <w:webHidden/>
          </w:rPr>
          <w:fldChar w:fldCharType="separate"/>
        </w:r>
        <w:r w:rsidR="00EE00AA">
          <w:rPr>
            <w:noProof/>
            <w:webHidden/>
          </w:rPr>
          <w:t>65</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82" w:history="1">
        <w:r w:rsidR="00EE00AA" w:rsidRPr="00FC66C5">
          <w:rPr>
            <w:rStyle w:val="Hyperlink"/>
            <w:noProof/>
          </w:rPr>
          <w:t>6.2.3 Reporting ex-ante results</w:t>
        </w:r>
        <w:r w:rsidR="00EE00AA">
          <w:rPr>
            <w:noProof/>
            <w:webHidden/>
          </w:rPr>
          <w:tab/>
        </w:r>
        <w:r w:rsidR="00EE00AA">
          <w:rPr>
            <w:noProof/>
            <w:webHidden/>
          </w:rPr>
          <w:fldChar w:fldCharType="begin"/>
        </w:r>
        <w:r w:rsidR="00EE00AA">
          <w:rPr>
            <w:noProof/>
            <w:webHidden/>
          </w:rPr>
          <w:instrText xml:space="preserve"> PAGEREF _Toc415231782 \h </w:instrText>
        </w:r>
        <w:r w:rsidR="00EE00AA">
          <w:rPr>
            <w:noProof/>
            <w:webHidden/>
          </w:rPr>
        </w:r>
        <w:r w:rsidR="00EE00AA">
          <w:rPr>
            <w:noProof/>
            <w:webHidden/>
          </w:rPr>
          <w:fldChar w:fldCharType="separate"/>
        </w:r>
        <w:r w:rsidR="00EE00AA">
          <w:rPr>
            <w:noProof/>
            <w:webHidden/>
          </w:rPr>
          <w:t>67</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83" w:history="1">
        <w:r w:rsidR="00EE00AA" w:rsidRPr="00FC66C5">
          <w:rPr>
            <w:rStyle w:val="Hyperlink"/>
            <w:noProof/>
          </w:rPr>
          <w:t xml:space="preserve">6.3 </w:t>
        </w:r>
        <w:r w:rsidR="00EE00AA" w:rsidRPr="00FC66C5">
          <w:rPr>
            <w:rStyle w:val="Hyperlink"/>
            <w:i/>
            <w:noProof/>
          </w:rPr>
          <w:t>Ex-ante</w:t>
        </w:r>
        <w:r w:rsidR="00EE00AA" w:rsidRPr="00FC66C5">
          <w:rPr>
            <w:rStyle w:val="Hyperlink"/>
            <w:noProof/>
          </w:rPr>
          <w:t xml:space="preserve"> Load Impacts for PG&amp;E’s CBP Program</w:t>
        </w:r>
        <w:r w:rsidR="00EE00AA">
          <w:rPr>
            <w:noProof/>
            <w:webHidden/>
          </w:rPr>
          <w:tab/>
        </w:r>
        <w:r w:rsidR="00EE00AA">
          <w:rPr>
            <w:noProof/>
            <w:webHidden/>
          </w:rPr>
          <w:fldChar w:fldCharType="begin"/>
        </w:r>
        <w:r w:rsidR="00EE00AA">
          <w:rPr>
            <w:noProof/>
            <w:webHidden/>
          </w:rPr>
          <w:instrText xml:space="preserve"> PAGEREF _Toc415231783 \h </w:instrText>
        </w:r>
        <w:r w:rsidR="00EE00AA">
          <w:rPr>
            <w:noProof/>
            <w:webHidden/>
          </w:rPr>
        </w:r>
        <w:r w:rsidR="00EE00AA">
          <w:rPr>
            <w:noProof/>
            <w:webHidden/>
          </w:rPr>
          <w:fldChar w:fldCharType="separate"/>
        </w:r>
        <w:r w:rsidR="00EE00AA">
          <w:rPr>
            <w:noProof/>
            <w:webHidden/>
          </w:rPr>
          <w:t>68</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84" w:history="1">
        <w:r w:rsidR="00EE00AA" w:rsidRPr="00FC66C5">
          <w:rPr>
            <w:rStyle w:val="Hyperlink"/>
            <w:noProof/>
          </w:rPr>
          <w:t>6.3.1 Enrollment and load impact summary</w:t>
        </w:r>
        <w:r w:rsidR="00EE00AA">
          <w:rPr>
            <w:noProof/>
            <w:webHidden/>
          </w:rPr>
          <w:tab/>
        </w:r>
        <w:r w:rsidR="00EE00AA">
          <w:rPr>
            <w:noProof/>
            <w:webHidden/>
          </w:rPr>
          <w:fldChar w:fldCharType="begin"/>
        </w:r>
        <w:r w:rsidR="00EE00AA">
          <w:rPr>
            <w:noProof/>
            <w:webHidden/>
          </w:rPr>
          <w:instrText xml:space="preserve"> PAGEREF _Toc415231784 \h </w:instrText>
        </w:r>
        <w:r w:rsidR="00EE00AA">
          <w:rPr>
            <w:noProof/>
            <w:webHidden/>
          </w:rPr>
        </w:r>
        <w:r w:rsidR="00EE00AA">
          <w:rPr>
            <w:noProof/>
            <w:webHidden/>
          </w:rPr>
          <w:fldChar w:fldCharType="separate"/>
        </w:r>
        <w:r w:rsidR="00EE00AA">
          <w:rPr>
            <w:noProof/>
            <w:webHidden/>
          </w:rPr>
          <w:t>68</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85" w:history="1">
        <w:r w:rsidR="00EE00AA" w:rsidRPr="00FC66C5">
          <w:rPr>
            <w:rStyle w:val="Hyperlink"/>
            <w:noProof/>
          </w:rPr>
          <w:t>6.3.2 Hourly reference loads and load impacts</w:t>
        </w:r>
        <w:r w:rsidR="00EE00AA">
          <w:rPr>
            <w:noProof/>
            <w:webHidden/>
          </w:rPr>
          <w:tab/>
        </w:r>
        <w:r w:rsidR="00EE00AA">
          <w:rPr>
            <w:noProof/>
            <w:webHidden/>
          </w:rPr>
          <w:fldChar w:fldCharType="begin"/>
        </w:r>
        <w:r w:rsidR="00EE00AA">
          <w:rPr>
            <w:noProof/>
            <w:webHidden/>
          </w:rPr>
          <w:instrText xml:space="preserve"> PAGEREF _Toc415231785 \h </w:instrText>
        </w:r>
        <w:r w:rsidR="00EE00AA">
          <w:rPr>
            <w:noProof/>
            <w:webHidden/>
          </w:rPr>
        </w:r>
        <w:r w:rsidR="00EE00AA">
          <w:rPr>
            <w:noProof/>
            <w:webHidden/>
          </w:rPr>
          <w:fldChar w:fldCharType="separate"/>
        </w:r>
        <w:r w:rsidR="00EE00AA">
          <w:rPr>
            <w:noProof/>
            <w:webHidden/>
          </w:rPr>
          <w:t>69</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86" w:history="1">
        <w:r w:rsidR="00EE00AA" w:rsidRPr="00FC66C5">
          <w:rPr>
            <w:rStyle w:val="Hyperlink"/>
            <w:noProof/>
          </w:rPr>
          <w:t xml:space="preserve">6.4 </w:t>
        </w:r>
        <w:r w:rsidR="00EE00AA" w:rsidRPr="00FC66C5">
          <w:rPr>
            <w:rStyle w:val="Hyperlink"/>
            <w:i/>
            <w:noProof/>
          </w:rPr>
          <w:t>Ex-ante</w:t>
        </w:r>
        <w:r w:rsidR="00EE00AA" w:rsidRPr="00FC66C5">
          <w:rPr>
            <w:rStyle w:val="Hyperlink"/>
            <w:noProof/>
          </w:rPr>
          <w:t xml:space="preserve"> Load Impacts for PG&amp;E’s AMP Program</w:t>
        </w:r>
        <w:r w:rsidR="00EE00AA">
          <w:rPr>
            <w:noProof/>
            <w:webHidden/>
          </w:rPr>
          <w:tab/>
        </w:r>
        <w:r w:rsidR="00EE00AA">
          <w:rPr>
            <w:noProof/>
            <w:webHidden/>
          </w:rPr>
          <w:fldChar w:fldCharType="begin"/>
        </w:r>
        <w:r w:rsidR="00EE00AA">
          <w:rPr>
            <w:noProof/>
            <w:webHidden/>
          </w:rPr>
          <w:instrText xml:space="preserve"> PAGEREF _Toc415231786 \h </w:instrText>
        </w:r>
        <w:r w:rsidR="00EE00AA">
          <w:rPr>
            <w:noProof/>
            <w:webHidden/>
          </w:rPr>
        </w:r>
        <w:r w:rsidR="00EE00AA">
          <w:rPr>
            <w:noProof/>
            <w:webHidden/>
          </w:rPr>
          <w:fldChar w:fldCharType="separate"/>
        </w:r>
        <w:r w:rsidR="00EE00AA">
          <w:rPr>
            <w:noProof/>
            <w:webHidden/>
          </w:rPr>
          <w:t>70</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87" w:history="1">
        <w:r w:rsidR="00EE00AA" w:rsidRPr="00FC66C5">
          <w:rPr>
            <w:rStyle w:val="Hyperlink"/>
            <w:noProof/>
          </w:rPr>
          <w:t>6.4.1 Enrollment and load impact summary</w:t>
        </w:r>
        <w:r w:rsidR="00EE00AA">
          <w:rPr>
            <w:noProof/>
            <w:webHidden/>
          </w:rPr>
          <w:tab/>
        </w:r>
        <w:r w:rsidR="00EE00AA">
          <w:rPr>
            <w:noProof/>
            <w:webHidden/>
          </w:rPr>
          <w:fldChar w:fldCharType="begin"/>
        </w:r>
        <w:r w:rsidR="00EE00AA">
          <w:rPr>
            <w:noProof/>
            <w:webHidden/>
          </w:rPr>
          <w:instrText xml:space="preserve"> PAGEREF _Toc415231787 \h </w:instrText>
        </w:r>
        <w:r w:rsidR="00EE00AA">
          <w:rPr>
            <w:noProof/>
            <w:webHidden/>
          </w:rPr>
        </w:r>
        <w:r w:rsidR="00EE00AA">
          <w:rPr>
            <w:noProof/>
            <w:webHidden/>
          </w:rPr>
          <w:fldChar w:fldCharType="separate"/>
        </w:r>
        <w:r w:rsidR="00EE00AA">
          <w:rPr>
            <w:noProof/>
            <w:webHidden/>
          </w:rPr>
          <w:t>70</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88" w:history="1">
        <w:r w:rsidR="00EE00AA" w:rsidRPr="00FC66C5">
          <w:rPr>
            <w:rStyle w:val="Hyperlink"/>
            <w:noProof/>
          </w:rPr>
          <w:t>6.4.2 Hourly reference loads and load impacts</w:t>
        </w:r>
        <w:r w:rsidR="00EE00AA">
          <w:rPr>
            <w:noProof/>
            <w:webHidden/>
          </w:rPr>
          <w:tab/>
        </w:r>
        <w:r w:rsidR="00EE00AA">
          <w:rPr>
            <w:noProof/>
            <w:webHidden/>
          </w:rPr>
          <w:fldChar w:fldCharType="begin"/>
        </w:r>
        <w:r w:rsidR="00EE00AA">
          <w:rPr>
            <w:noProof/>
            <w:webHidden/>
          </w:rPr>
          <w:instrText xml:space="preserve"> PAGEREF _Toc415231788 \h </w:instrText>
        </w:r>
        <w:r w:rsidR="00EE00AA">
          <w:rPr>
            <w:noProof/>
            <w:webHidden/>
          </w:rPr>
        </w:r>
        <w:r w:rsidR="00EE00AA">
          <w:rPr>
            <w:noProof/>
            <w:webHidden/>
          </w:rPr>
          <w:fldChar w:fldCharType="separate"/>
        </w:r>
        <w:r w:rsidR="00EE00AA">
          <w:rPr>
            <w:noProof/>
            <w:webHidden/>
          </w:rPr>
          <w:t>71</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89" w:history="1">
        <w:r w:rsidR="00EE00AA" w:rsidRPr="00FC66C5">
          <w:rPr>
            <w:rStyle w:val="Hyperlink"/>
            <w:noProof/>
          </w:rPr>
          <w:t xml:space="preserve">6.5 </w:t>
        </w:r>
        <w:r w:rsidR="00EE00AA" w:rsidRPr="00FC66C5">
          <w:rPr>
            <w:rStyle w:val="Hyperlink"/>
            <w:i/>
            <w:noProof/>
          </w:rPr>
          <w:t>Ex-ante</w:t>
        </w:r>
        <w:r w:rsidR="00EE00AA" w:rsidRPr="00FC66C5">
          <w:rPr>
            <w:rStyle w:val="Hyperlink"/>
            <w:noProof/>
          </w:rPr>
          <w:t xml:space="preserve"> Load Impacts for SCE’s CBP Program</w:t>
        </w:r>
        <w:r w:rsidR="00EE00AA">
          <w:rPr>
            <w:noProof/>
            <w:webHidden/>
          </w:rPr>
          <w:tab/>
        </w:r>
        <w:r w:rsidR="00EE00AA">
          <w:rPr>
            <w:noProof/>
            <w:webHidden/>
          </w:rPr>
          <w:fldChar w:fldCharType="begin"/>
        </w:r>
        <w:r w:rsidR="00EE00AA">
          <w:rPr>
            <w:noProof/>
            <w:webHidden/>
          </w:rPr>
          <w:instrText xml:space="preserve"> PAGEREF _Toc415231789 \h </w:instrText>
        </w:r>
        <w:r w:rsidR="00EE00AA">
          <w:rPr>
            <w:noProof/>
            <w:webHidden/>
          </w:rPr>
        </w:r>
        <w:r w:rsidR="00EE00AA">
          <w:rPr>
            <w:noProof/>
            <w:webHidden/>
          </w:rPr>
          <w:fldChar w:fldCharType="separate"/>
        </w:r>
        <w:r w:rsidR="00EE00AA">
          <w:rPr>
            <w:noProof/>
            <w:webHidden/>
          </w:rPr>
          <w:t>72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90" w:history="1">
        <w:r w:rsidR="00EE00AA" w:rsidRPr="00FC66C5">
          <w:rPr>
            <w:rStyle w:val="Hyperlink"/>
            <w:iCs/>
            <w:noProof/>
          </w:rPr>
          <w:t>6.5.1 Enrollment forecasts, reference loads and load impacts</w:t>
        </w:r>
        <w:r w:rsidR="00EE00AA">
          <w:rPr>
            <w:noProof/>
            <w:webHidden/>
          </w:rPr>
          <w:tab/>
        </w:r>
        <w:r w:rsidR="00EE00AA">
          <w:rPr>
            <w:noProof/>
            <w:webHidden/>
          </w:rPr>
          <w:fldChar w:fldCharType="begin"/>
        </w:r>
        <w:r w:rsidR="00EE00AA">
          <w:rPr>
            <w:noProof/>
            <w:webHidden/>
          </w:rPr>
          <w:instrText xml:space="preserve"> PAGEREF _Toc415231790 \h </w:instrText>
        </w:r>
        <w:r w:rsidR="00EE00AA">
          <w:rPr>
            <w:noProof/>
            <w:webHidden/>
          </w:rPr>
        </w:r>
        <w:r w:rsidR="00EE00AA">
          <w:rPr>
            <w:noProof/>
            <w:webHidden/>
          </w:rPr>
          <w:fldChar w:fldCharType="separate"/>
        </w:r>
        <w:r w:rsidR="00EE00AA">
          <w:rPr>
            <w:noProof/>
            <w:webHidden/>
          </w:rPr>
          <w:t>72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91" w:history="1">
        <w:r w:rsidR="00EE00AA" w:rsidRPr="00FC66C5">
          <w:rPr>
            <w:rStyle w:val="Hyperlink"/>
            <w:noProof/>
          </w:rPr>
          <w:t>6.5.2 Hourly reference loads and load impacts</w:t>
        </w:r>
        <w:r w:rsidR="00EE00AA">
          <w:rPr>
            <w:noProof/>
            <w:webHidden/>
          </w:rPr>
          <w:tab/>
        </w:r>
        <w:r w:rsidR="00EE00AA">
          <w:rPr>
            <w:noProof/>
            <w:webHidden/>
          </w:rPr>
          <w:fldChar w:fldCharType="begin"/>
        </w:r>
        <w:r w:rsidR="00EE00AA">
          <w:rPr>
            <w:noProof/>
            <w:webHidden/>
          </w:rPr>
          <w:instrText xml:space="preserve"> PAGEREF _Toc415231791 \h </w:instrText>
        </w:r>
        <w:r w:rsidR="00EE00AA">
          <w:rPr>
            <w:noProof/>
            <w:webHidden/>
          </w:rPr>
        </w:r>
        <w:r w:rsidR="00EE00AA">
          <w:rPr>
            <w:noProof/>
            <w:webHidden/>
          </w:rPr>
          <w:fldChar w:fldCharType="separate"/>
        </w:r>
        <w:r w:rsidR="00EE00AA">
          <w:rPr>
            <w:noProof/>
            <w:webHidden/>
          </w:rPr>
          <w:t>73</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92" w:history="1">
        <w:r w:rsidR="00EE00AA" w:rsidRPr="00FC66C5">
          <w:rPr>
            <w:rStyle w:val="Hyperlink"/>
            <w:noProof/>
          </w:rPr>
          <w:t xml:space="preserve">6.6 </w:t>
        </w:r>
        <w:r w:rsidR="00EE00AA" w:rsidRPr="00FC66C5">
          <w:rPr>
            <w:rStyle w:val="Hyperlink"/>
            <w:i/>
            <w:noProof/>
          </w:rPr>
          <w:t>Ex-ante</w:t>
        </w:r>
        <w:r w:rsidR="00EE00AA" w:rsidRPr="00FC66C5">
          <w:rPr>
            <w:rStyle w:val="Hyperlink"/>
            <w:noProof/>
          </w:rPr>
          <w:t xml:space="preserve"> Load Impacts for SCE’s AMP Program</w:t>
        </w:r>
        <w:r w:rsidR="00EE00AA">
          <w:rPr>
            <w:noProof/>
            <w:webHidden/>
          </w:rPr>
          <w:tab/>
        </w:r>
        <w:r w:rsidR="00EE00AA">
          <w:rPr>
            <w:noProof/>
            <w:webHidden/>
          </w:rPr>
          <w:fldChar w:fldCharType="begin"/>
        </w:r>
        <w:r w:rsidR="00EE00AA">
          <w:rPr>
            <w:noProof/>
            <w:webHidden/>
          </w:rPr>
          <w:instrText xml:space="preserve"> PAGEREF _Toc415231792 \h </w:instrText>
        </w:r>
        <w:r w:rsidR="00EE00AA">
          <w:rPr>
            <w:noProof/>
            <w:webHidden/>
          </w:rPr>
        </w:r>
        <w:r w:rsidR="00EE00AA">
          <w:rPr>
            <w:noProof/>
            <w:webHidden/>
          </w:rPr>
          <w:fldChar w:fldCharType="separate"/>
        </w:r>
        <w:r w:rsidR="00EE00AA">
          <w:rPr>
            <w:noProof/>
            <w:webHidden/>
          </w:rPr>
          <w:t>74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93" w:history="1">
        <w:r w:rsidR="00EE00AA" w:rsidRPr="00FC66C5">
          <w:rPr>
            <w:rStyle w:val="Hyperlink"/>
            <w:noProof/>
          </w:rPr>
          <w:t>6.6.1 Enrollment forecasts, reference loads and load impacts</w:t>
        </w:r>
        <w:r w:rsidR="00EE00AA">
          <w:rPr>
            <w:noProof/>
            <w:webHidden/>
          </w:rPr>
          <w:tab/>
        </w:r>
        <w:r w:rsidR="00EE00AA">
          <w:rPr>
            <w:noProof/>
            <w:webHidden/>
          </w:rPr>
          <w:fldChar w:fldCharType="begin"/>
        </w:r>
        <w:r w:rsidR="00EE00AA">
          <w:rPr>
            <w:noProof/>
            <w:webHidden/>
          </w:rPr>
          <w:instrText xml:space="preserve"> PAGEREF _Toc415231793 \h </w:instrText>
        </w:r>
        <w:r w:rsidR="00EE00AA">
          <w:rPr>
            <w:noProof/>
            <w:webHidden/>
          </w:rPr>
        </w:r>
        <w:r w:rsidR="00EE00AA">
          <w:rPr>
            <w:noProof/>
            <w:webHidden/>
          </w:rPr>
          <w:fldChar w:fldCharType="separate"/>
        </w:r>
        <w:r w:rsidR="00EE00AA">
          <w:rPr>
            <w:noProof/>
            <w:webHidden/>
          </w:rPr>
          <w:t>74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94" w:history="1">
        <w:r w:rsidR="00EE00AA" w:rsidRPr="00FC66C5">
          <w:rPr>
            <w:rStyle w:val="Hyperlink"/>
            <w:noProof/>
          </w:rPr>
          <w:t>6.6.2 Hourly reference loads and load impacts</w:t>
        </w:r>
        <w:r w:rsidR="00EE00AA">
          <w:rPr>
            <w:noProof/>
            <w:webHidden/>
          </w:rPr>
          <w:tab/>
        </w:r>
        <w:r w:rsidR="00EE00AA">
          <w:rPr>
            <w:noProof/>
            <w:webHidden/>
          </w:rPr>
          <w:fldChar w:fldCharType="begin"/>
        </w:r>
        <w:r w:rsidR="00EE00AA">
          <w:rPr>
            <w:noProof/>
            <w:webHidden/>
          </w:rPr>
          <w:instrText xml:space="preserve"> PAGEREF _Toc415231794 \h </w:instrText>
        </w:r>
        <w:r w:rsidR="00EE00AA">
          <w:rPr>
            <w:noProof/>
            <w:webHidden/>
          </w:rPr>
        </w:r>
        <w:r w:rsidR="00EE00AA">
          <w:rPr>
            <w:noProof/>
            <w:webHidden/>
          </w:rPr>
          <w:fldChar w:fldCharType="separate"/>
        </w:r>
        <w:r w:rsidR="00EE00AA">
          <w:rPr>
            <w:noProof/>
            <w:webHidden/>
          </w:rPr>
          <w:t>75</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95" w:history="1">
        <w:r w:rsidR="00EE00AA" w:rsidRPr="00FC66C5">
          <w:rPr>
            <w:rStyle w:val="Hyperlink"/>
            <w:noProof/>
          </w:rPr>
          <w:t xml:space="preserve">6.7 </w:t>
        </w:r>
        <w:r w:rsidR="00EE00AA" w:rsidRPr="00FC66C5">
          <w:rPr>
            <w:rStyle w:val="Hyperlink"/>
            <w:i/>
            <w:noProof/>
          </w:rPr>
          <w:t>Ex-ante</w:t>
        </w:r>
        <w:r w:rsidR="00EE00AA" w:rsidRPr="00FC66C5">
          <w:rPr>
            <w:rStyle w:val="Hyperlink"/>
            <w:noProof/>
          </w:rPr>
          <w:t xml:space="preserve"> Load Impacts for SDG&amp;E’s CBP</w:t>
        </w:r>
        <w:r w:rsidR="00EE00AA">
          <w:rPr>
            <w:noProof/>
            <w:webHidden/>
          </w:rPr>
          <w:tab/>
        </w:r>
        <w:r w:rsidR="00EE00AA">
          <w:rPr>
            <w:noProof/>
            <w:webHidden/>
          </w:rPr>
          <w:fldChar w:fldCharType="begin"/>
        </w:r>
        <w:r w:rsidR="00EE00AA">
          <w:rPr>
            <w:noProof/>
            <w:webHidden/>
          </w:rPr>
          <w:instrText xml:space="preserve"> PAGEREF _Toc415231795 \h </w:instrText>
        </w:r>
        <w:r w:rsidR="00EE00AA">
          <w:rPr>
            <w:noProof/>
            <w:webHidden/>
          </w:rPr>
        </w:r>
        <w:r w:rsidR="00EE00AA">
          <w:rPr>
            <w:noProof/>
            <w:webHidden/>
          </w:rPr>
          <w:fldChar w:fldCharType="separate"/>
        </w:r>
        <w:r w:rsidR="00EE00AA">
          <w:rPr>
            <w:noProof/>
            <w:webHidden/>
          </w:rPr>
          <w:t>76</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96" w:history="1">
        <w:r w:rsidR="00EE00AA" w:rsidRPr="00FC66C5">
          <w:rPr>
            <w:rStyle w:val="Hyperlink"/>
            <w:noProof/>
          </w:rPr>
          <w:t>6.7.1 Enrollment forecasts, reference loads and load impacts</w:t>
        </w:r>
        <w:r w:rsidR="00EE00AA">
          <w:rPr>
            <w:noProof/>
            <w:webHidden/>
          </w:rPr>
          <w:tab/>
        </w:r>
        <w:r w:rsidR="00EE00AA">
          <w:rPr>
            <w:noProof/>
            <w:webHidden/>
          </w:rPr>
          <w:fldChar w:fldCharType="begin"/>
        </w:r>
        <w:r w:rsidR="00EE00AA">
          <w:rPr>
            <w:noProof/>
            <w:webHidden/>
          </w:rPr>
          <w:instrText xml:space="preserve"> PAGEREF _Toc415231796 \h </w:instrText>
        </w:r>
        <w:r w:rsidR="00EE00AA">
          <w:rPr>
            <w:noProof/>
            <w:webHidden/>
          </w:rPr>
        </w:r>
        <w:r w:rsidR="00EE00AA">
          <w:rPr>
            <w:noProof/>
            <w:webHidden/>
          </w:rPr>
          <w:fldChar w:fldCharType="separate"/>
        </w:r>
        <w:r w:rsidR="00EE00AA">
          <w:rPr>
            <w:noProof/>
            <w:webHidden/>
          </w:rPr>
          <w:t>76</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797" w:history="1">
        <w:r w:rsidR="00EE00AA" w:rsidRPr="00FC66C5">
          <w:rPr>
            <w:rStyle w:val="Hyperlink"/>
            <w:noProof/>
          </w:rPr>
          <w:t>6.7.2 Hourly reference loads and load impacts</w:t>
        </w:r>
        <w:r w:rsidR="00EE00AA">
          <w:rPr>
            <w:noProof/>
            <w:webHidden/>
          </w:rPr>
          <w:tab/>
        </w:r>
        <w:r w:rsidR="00EE00AA">
          <w:rPr>
            <w:noProof/>
            <w:webHidden/>
          </w:rPr>
          <w:fldChar w:fldCharType="begin"/>
        </w:r>
        <w:r w:rsidR="00EE00AA">
          <w:rPr>
            <w:noProof/>
            <w:webHidden/>
          </w:rPr>
          <w:instrText xml:space="preserve"> PAGEREF _Toc415231797 \h </w:instrText>
        </w:r>
        <w:r w:rsidR="00EE00AA">
          <w:rPr>
            <w:noProof/>
            <w:webHidden/>
          </w:rPr>
        </w:r>
        <w:r w:rsidR="00EE00AA">
          <w:rPr>
            <w:noProof/>
            <w:webHidden/>
          </w:rPr>
          <w:fldChar w:fldCharType="separate"/>
        </w:r>
        <w:r w:rsidR="00EE00AA">
          <w:rPr>
            <w:noProof/>
            <w:webHidden/>
          </w:rPr>
          <w:t>77</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798" w:history="1">
        <w:r w:rsidR="00EE00AA" w:rsidRPr="00FC66C5">
          <w:rPr>
            <w:rStyle w:val="Hyperlink"/>
            <w:noProof/>
          </w:rPr>
          <w:t>7.</w:t>
        </w:r>
        <w:r w:rsidR="00EE00AA">
          <w:rPr>
            <w:rFonts w:asciiTheme="minorHAnsi" w:eastAsiaTheme="minorEastAsia" w:hAnsiTheme="minorHAnsi" w:cstheme="minorBidi"/>
            <w:b w:val="0"/>
            <w:noProof/>
            <w:sz w:val="22"/>
            <w:szCs w:val="22"/>
          </w:rPr>
          <w:tab/>
        </w:r>
        <w:r w:rsidR="00EE00AA" w:rsidRPr="00FC66C5">
          <w:rPr>
            <w:rStyle w:val="Hyperlink"/>
            <w:noProof/>
          </w:rPr>
          <w:t xml:space="preserve">Comparisons of </w:t>
        </w:r>
        <w:r w:rsidR="00EE00AA" w:rsidRPr="00FC66C5">
          <w:rPr>
            <w:rStyle w:val="Hyperlink"/>
            <w:i/>
            <w:noProof/>
          </w:rPr>
          <w:t>Ex-Post</w:t>
        </w:r>
        <w:r w:rsidR="00EE00AA" w:rsidRPr="00FC66C5">
          <w:rPr>
            <w:rStyle w:val="Hyperlink"/>
            <w:noProof/>
          </w:rPr>
          <w:t xml:space="preserve"> and </w:t>
        </w:r>
        <w:r w:rsidR="00EE00AA" w:rsidRPr="00FC66C5">
          <w:rPr>
            <w:rStyle w:val="Hyperlink"/>
            <w:i/>
            <w:noProof/>
          </w:rPr>
          <w:t>Ex-ante</w:t>
        </w:r>
        <w:r w:rsidR="00EE00AA" w:rsidRPr="00FC66C5">
          <w:rPr>
            <w:rStyle w:val="Hyperlink"/>
            <w:noProof/>
          </w:rPr>
          <w:t xml:space="preserve"> Results</w:t>
        </w:r>
        <w:r w:rsidR="00EE00AA">
          <w:rPr>
            <w:noProof/>
            <w:webHidden/>
          </w:rPr>
          <w:tab/>
        </w:r>
        <w:r w:rsidR="00EE00AA">
          <w:rPr>
            <w:noProof/>
            <w:webHidden/>
          </w:rPr>
          <w:fldChar w:fldCharType="begin"/>
        </w:r>
        <w:r w:rsidR="00EE00AA">
          <w:rPr>
            <w:noProof/>
            <w:webHidden/>
          </w:rPr>
          <w:instrText xml:space="preserve"> PAGEREF _Toc415231798 \h </w:instrText>
        </w:r>
        <w:r w:rsidR="00EE00AA">
          <w:rPr>
            <w:noProof/>
            <w:webHidden/>
          </w:rPr>
        </w:r>
        <w:r w:rsidR="00EE00AA">
          <w:rPr>
            <w:noProof/>
            <w:webHidden/>
          </w:rPr>
          <w:fldChar w:fldCharType="separate"/>
        </w:r>
        <w:r w:rsidR="00EE00AA">
          <w:rPr>
            <w:noProof/>
            <w:webHidden/>
          </w:rPr>
          <w:t>78</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799" w:history="1">
        <w:r w:rsidR="00EE00AA" w:rsidRPr="00FC66C5">
          <w:rPr>
            <w:rStyle w:val="Hyperlink"/>
            <w:noProof/>
          </w:rPr>
          <w:t xml:space="preserve">7.1 Link between </w:t>
        </w:r>
        <w:r w:rsidR="00EE00AA" w:rsidRPr="00FC66C5">
          <w:rPr>
            <w:rStyle w:val="Hyperlink"/>
            <w:i/>
            <w:noProof/>
          </w:rPr>
          <w:t xml:space="preserve">ex-post </w:t>
        </w:r>
        <w:r w:rsidR="00EE00AA" w:rsidRPr="00FC66C5">
          <w:rPr>
            <w:rStyle w:val="Hyperlink"/>
            <w:noProof/>
          </w:rPr>
          <w:t xml:space="preserve">results and </w:t>
        </w:r>
        <w:r w:rsidR="00EE00AA" w:rsidRPr="00FC66C5">
          <w:rPr>
            <w:rStyle w:val="Hyperlink"/>
            <w:i/>
            <w:noProof/>
          </w:rPr>
          <w:t>ex-ante</w:t>
        </w:r>
        <w:r w:rsidR="00EE00AA" w:rsidRPr="00FC66C5">
          <w:rPr>
            <w:rStyle w:val="Hyperlink"/>
            <w:noProof/>
          </w:rPr>
          <w:t xml:space="preserve"> forecasts</w:t>
        </w:r>
        <w:r w:rsidR="00EE00AA">
          <w:rPr>
            <w:noProof/>
            <w:webHidden/>
          </w:rPr>
          <w:tab/>
        </w:r>
        <w:r w:rsidR="00EE00AA">
          <w:rPr>
            <w:noProof/>
            <w:webHidden/>
          </w:rPr>
          <w:fldChar w:fldCharType="begin"/>
        </w:r>
        <w:r w:rsidR="00EE00AA">
          <w:rPr>
            <w:noProof/>
            <w:webHidden/>
          </w:rPr>
          <w:instrText xml:space="preserve"> PAGEREF _Toc415231799 \h </w:instrText>
        </w:r>
        <w:r w:rsidR="00EE00AA">
          <w:rPr>
            <w:noProof/>
            <w:webHidden/>
          </w:rPr>
        </w:r>
        <w:r w:rsidR="00EE00AA">
          <w:rPr>
            <w:noProof/>
            <w:webHidden/>
          </w:rPr>
          <w:fldChar w:fldCharType="separate"/>
        </w:r>
        <w:r w:rsidR="00EE00AA">
          <w:rPr>
            <w:noProof/>
            <w:webHidden/>
          </w:rPr>
          <w:t>79</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800" w:history="1">
        <w:r w:rsidR="00EE00AA" w:rsidRPr="00FC66C5">
          <w:rPr>
            <w:rStyle w:val="Hyperlink"/>
            <w:noProof/>
          </w:rPr>
          <w:t>7.2 PG&amp;E CBP and AMP</w:t>
        </w:r>
        <w:r w:rsidR="00EE00AA">
          <w:rPr>
            <w:noProof/>
            <w:webHidden/>
          </w:rPr>
          <w:tab/>
        </w:r>
        <w:r w:rsidR="00EE00AA">
          <w:rPr>
            <w:noProof/>
            <w:webHidden/>
          </w:rPr>
          <w:fldChar w:fldCharType="begin"/>
        </w:r>
        <w:r w:rsidR="00EE00AA">
          <w:rPr>
            <w:noProof/>
            <w:webHidden/>
          </w:rPr>
          <w:instrText xml:space="preserve"> PAGEREF _Toc415231800 \h </w:instrText>
        </w:r>
        <w:r w:rsidR="00EE00AA">
          <w:rPr>
            <w:noProof/>
            <w:webHidden/>
          </w:rPr>
        </w:r>
        <w:r w:rsidR="00EE00AA">
          <w:rPr>
            <w:noProof/>
            <w:webHidden/>
          </w:rPr>
          <w:fldChar w:fldCharType="separate"/>
        </w:r>
        <w:r w:rsidR="00EE00AA">
          <w:rPr>
            <w:noProof/>
            <w:webHidden/>
          </w:rPr>
          <w:t>79</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01" w:history="1">
        <w:r w:rsidR="00EE00AA" w:rsidRPr="00FC66C5">
          <w:rPr>
            <w:rStyle w:val="Hyperlink"/>
            <w:noProof/>
          </w:rPr>
          <w:t>7.2.1 Previous and current ex-post, and forecast for 2015</w:t>
        </w:r>
        <w:r w:rsidR="00EE00AA">
          <w:rPr>
            <w:noProof/>
            <w:webHidden/>
          </w:rPr>
          <w:tab/>
        </w:r>
        <w:r w:rsidR="00EE00AA">
          <w:rPr>
            <w:noProof/>
            <w:webHidden/>
          </w:rPr>
          <w:fldChar w:fldCharType="begin"/>
        </w:r>
        <w:r w:rsidR="00EE00AA">
          <w:rPr>
            <w:noProof/>
            <w:webHidden/>
          </w:rPr>
          <w:instrText xml:space="preserve"> PAGEREF _Toc415231801 \h </w:instrText>
        </w:r>
        <w:r w:rsidR="00EE00AA">
          <w:rPr>
            <w:noProof/>
            <w:webHidden/>
          </w:rPr>
        </w:r>
        <w:r w:rsidR="00EE00AA">
          <w:rPr>
            <w:noProof/>
            <w:webHidden/>
          </w:rPr>
          <w:fldChar w:fldCharType="separate"/>
        </w:r>
        <w:r w:rsidR="00EE00AA">
          <w:rPr>
            <w:noProof/>
            <w:webHidden/>
          </w:rPr>
          <w:t>79</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02" w:history="1">
        <w:r w:rsidR="00EE00AA" w:rsidRPr="00FC66C5">
          <w:rPr>
            <w:rStyle w:val="Hyperlink"/>
            <w:noProof/>
          </w:rPr>
          <w:t>7.2.2 Previous versus current ex-ante</w:t>
        </w:r>
        <w:r w:rsidR="00EE00AA">
          <w:rPr>
            <w:noProof/>
            <w:webHidden/>
          </w:rPr>
          <w:tab/>
        </w:r>
        <w:r w:rsidR="00EE00AA">
          <w:rPr>
            <w:noProof/>
            <w:webHidden/>
          </w:rPr>
          <w:fldChar w:fldCharType="begin"/>
        </w:r>
        <w:r w:rsidR="00EE00AA">
          <w:rPr>
            <w:noProof/>
            <w:webHidden/>
          </w:rPr>
          <w:instrText xml:space="preserve"> PAGEREF _Toc415231802 \h </w:instrText>
        </w:r>
        <w:r w:rsidR="00EE00AA">
          <w:rPr>
            <w:noProof/>
            <w:webHidden/>
          </w:rPr>
        </w:r>
        <w:r w:rsidR="00EE00AA">
          <w:rPr>
            <w:noProof/>
            <w:webHidden/>
          </w:rPr>
          <w:fldChar w:fldCharType="separate"/>
        </w:r>
        <w:r w:rsidR="00EE00AA">
          <w:rPr>
            <w:noProof/>
            <w:webHidden/>
          </w:rPr>
          <w:t>81</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03" w:history="1">
        <w:r w:rsidR="00EE00AA" w:rsidRPr="00FC66C5">
          <w:rPr>
            <w:rStyle w:val="Hyperlink"/>
            <w:noProof/>
          </w:rPr>
          <w:t>7.2.3 Current ex-post compared to previous ex-ante</w:t>
        </w:r>
        <w:r w:rsidR="00EE00AA">
          <w:rPr>
            <w:noProof/>
            <w:webHidden/>
          </w:rPr>
          <w:tab/>
        </w:r>
        <w:r w:rsidR="00EE00AA">
          <w:rPr>
            <w:noProof/>
            <w:webHidden/>
          </w:rPr>
          <w:fldChar w:fldCharType="begin"/>
        </w:r>
        <w:r w:rsidR="00EE00AA">
          <w:rPr>
            <w:noProof/>
            <w:webHidden/>
          </w:rPr>
          <w:instrText xml:space="preserve"> PAGEREF _Toc415231803 \h </w:instrText>
        </w:r>
        <w:r w:rsidR="00EE00AA">
          <w:rPr>
            <w:noProof/>
            <w:webHidden/>
          </w:rPr>
        </w:r>
        <w:r w:rsidR="00EE00AA">
          <w:rPr>
            <w:noProof/>
            <w:webHidden/>
          </w:rPr>
          <w:fldChar w:fldCharType="separate"/>
        </w:r>
        <w:r w:rsidR="00EE00AA">
          <w:rPr>
            <w:noProof/>
            <w:webHidden/>
          </w:rPr>
          <w:t>81</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804" w:history="1">
        <w:r w:rsidR="00EE00AA" w:rsidRPr="00FC66C5">
          <w:rPr>
            <w:rStyle w:val="Hyperlink"/>
            <w:noProof/>
          </w:rPr>
          <w:t>7.3 SCE CBP and AMP</w:t>
        </w:r>
        <w:r w:rsidR="00EE00AA">
          <w:rPr>
            <w:noProof/>
            <w:webHidden/>
          </w:rPr>
          <w:tab/>
        </w:r>
        <w:r w:rsidR="00EE00AA">
          <w:rPr>
            <w:noProof/>
            <w:webHidden/>
          </w:rPr>
          <w:fldChar w:fldCharType="begin"/>
        </w:r>
        <w:r w:rsidR="00EE00AA">
          <w:rPr>
            <w:noProof/>
            <w:webHidden/>
          </w:rPr>
          <w:instrText xml:space="preserve"> PAGEREF _Toc415231804 \h </w:instrText>
        </w:r>
        <w:r w:rsidR="00EE00AA">
          <w:rPr>
            <w:noProof/>
            <w:webHidden/>
          </w:rPr>
        </w:r>
        <w:r w:rsidR="00EE00AA">
          <w:rPr>
            <w:noProof/>
            <w:webHidden/>
          </w:rPr>
          <w:fldChar w:fldCharType="separate"/>
        </w:r>
        <w:r w:rsidR="00EE00AA">
          <w:rPr>
            <w:noProof/>
            <w:webHidden/>
          </w:rPr>
          <w:t>82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05" w:history="1">
        <w:r w:rsidR="00EE00AA" w:rsidRPr="00FC66C5">
          <w:rPr>
            <w:rStyle w:val="Hyperlink"/>
            <w:noProof/>
          </w:rPr>
          <w:t>7.3.1 Previous and current ex-post, and forecast for 2014</w:t>
        </w:r>
        <w:r w:rsidR="00EE00AA">
          <w:rPr>
            <w:noProof/>
            <w:webHidden/>
          </w:rPr>
          <w:tab/>
        </w:r>
        <w:r w:rsidR="00EE00AA">
          <w:rPr>
            <w:noProof/>
            <w:webHidden/>
          </w:rPr>
          <w:fldChar w:fldCharType="begin"/>
        </w:r>
        <w:r w:rsidR="00EE00AA">
          <w:rPr>
            <w:noProof/>
            <w:webHidden/>
          </w:rPr>
          <w:instrText xml:space="preserve"> PAGEREF _Toc415231805 \h </w:instrText>
        </w:r>
        <w:r w:rsidR="00EE00AA">
          <w:rPr>
            <w:noProof/>
            <w:webHidden/>
          </w:rPr>
        </w:r>
        <w:r w:rsidR="00EE00AA">
          <w:rPr>
            <w:noProof/>
            <w:webHidden/>
          </w:rPr>
          <w:fldChar w:fldCharType="separate"/>
        </w:r>
        <w:r w:rsidR="00EE00AA">
          <w:rPr>
            <w:noProof/>
            <w:webHidden/>
          </w:rPr>
          <w:t>82</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06" w:history="1">
        <w:r w:rsidR="00EE00AA" w:rsidRPr="00FC66C5">
          <w:rPr>
            <w:rStyle w:val="Hyperlink"/>
            <w:noProof/>
          </w:rPr>
          <w:t>7.3.2 Previous versus current ex-ante</w:t>
        </w:r>
        <w:r w:rsidR="00EE00AA">
          <w:rPr>
            <w:noProof/>
            <w:webHidden/>
          </w:rPr>
          <w:tab/>
        </w:r>
        <w:r w:rsidR="00EE00AA">
          <w:rPr>
            <w:noProof/>
            <w:webHidden/>
          </w:rPr>
          <w:fldChar w:fldCharType="begin"/>
        </w:r>
        <w:r w:rsidR="00EE00AA">
          <w:rPr>
            <w:noProof/>
            <w:webHidden/>
          </w:rPr>
          <w:instrText xml:space="preserve"> PAGEREF _Toc415231806 \h </w:instrText>
        </w:r>
        <w:r w:rsidR="00EE00AA">
          <w:rPr>
            <w:noProof/>
            <w:webHidden/>
          </w:rPr>
        </w:r>
        <w:r w:rsidR="00EE00AA">
          <w:rPr>
            <w:noProof/>
            <w:webHidden/>
          </w:rPr>
          <w:fldChar w:fldCharType="separate"/>
        </w:r>
        <w:r w:rsidR="00EE00AA">
          <w:rPr>
            <w:noProof/>
            <w:webHidden/>
          </w:rPr>
          <w:t>83</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07" w:history="1">
        <w:r w:rsidR="00EE00AA" w:rsidRPr="00FC66C5">
          <w:rPr>
            <w:rStyle w:val="Hyperlink"/>
            <w:noProof/>
          </w:rPr>
          <w:t>7.3.3 Current ex-post compared to previous ex-ante</w:t>
        </w:r>
        <w:r w:rsidR="00EE00AA">
          <w:rPr>
            <w:noProof/>
            <w:webHidden/>
          </w:rPr>
          <w:tab/>
        </w:r>
        <w:r w:rsidR="00EE00AA">
          <w:rPr>
            <w:noProof/>
            <w:webHidden/>
          </w:rPr>
          <w:fldChar w:fldCharType="begin"/>
        </w:r>
        <w:r w:rsidR="00EE00AA">
          <w:rPr>
            <w:noProof/>
            <w:webHidden/>
          </w:rPr>
          <w:instrText xml:space="preserve"> PAGEREF _Toc415231807 \h </w:instrText>
        </w:r>
        <w:r w:rsidR="00EE00AA">
          <w:rPr>
            <w:noProof/>
            <w:webHidden/>
          </w:rPr>
        </w:r>
        <w:r w:rsidR="00EE00AA">
          <w:rPr>
            <w:noProof/>
            <w:webHidden/>
          </w:rPr>
          <w:fldChar w:fldCharType="separate"/>
        </w:r>
        <w:r w:rsidR="00EE00AA">
          <w:rPr>
            <w:noProof/>
            <w:webHidden/>
          </w:rPr>
          <w:t>84</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808" w:history="1">
        <w:r w:rsidR="00EE00AA" w:rsidRPr="00FC66C5">
          <w:rPr>
            <w:rStyle w:val="Hyperlink"/>
            <w:noProof/>
          </w:rPr>
          <w:t>7.4 SDG&amp;E CBP</w:t>
        </w:r>
        <w:r w:rsidR="00EE00AA">
          <w:rPr>
            <w:noProof/>
            <w:webHidden/>
          </w:rPr>
          <w:tab/>
        </w:r>
        <w:r w:rsidR="00EE00AA">
          <w:rPr>
            <w:noProof/>
            <w:webHidden/>
          </w:rPr>
          <w:fldChar w:fldCharType="begin"/>
        </w:r>
        <w:r w:rsidR="00EE00AA">
          <w:rPr>
            <w:noProof/>
            <w:webHidden/>
          </w:rPr>
          <w:instrText xml:space="preserve"> PAGEREF _Toc415231808 \h </w:instrText>
        </w:r>
        <w:r w:rsidR="00EE00AA">
          <w:rPr>
            <w:noProof/>
            <w:webHidden/>
          </w:rPr>
        </w:r>
        <w:r w:rsidR="00EE00AA">
          <w:rPr>
            <w:noProof/>
            <w:webHidden/>
          </w:rPr>
          <w:fldChar w:fldCharType="separate"/>
        </w:r>
        <w:r w:rsidR="00EE00AA">
          <w:rPr>
            <w:noProof/>
            <w:webHidden/>
          </w:rPr>
          <w:t>84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09" w:history="1">
        <w:r w:rsidR="00EE00AA" w:rsidRPr="00FC66C5">
          <w:rPr>
            <w:rStyle w:val="Hyperlink"/>
            <w:noProof/>
          </w:rPr>
          <w:t>7.4.1 Previous and current ex-post, and forecast for 2015</w:t>
        </w:r>
        <w:r w:rsidR="00EE00AA">
          <w:rPr>
            <w:noProof/>
            <w:webHidden/>
          </w:rPr>
          <w:tab/>
        </w:r>
        <w:r w:rsidR="00EE00AA">
          <w:rPr>
            <w:noProof/>
            <w:webHidden/>
          </w:rPr>
          <w:fldChar w:fldCharType="begin"/>
        </w:r>
        <w:r w:rsidR="00EE00AA">
          <w:rPr>
            <w:noProof/>
            <w:webHidden/>
          </w:rPr>
          <w:instrText xml:space="preserve"> PAGEREF _Toc415231809 \h </w:instrText>
        </w:r>
        <w:r w:rsidR="00EE00AA">
          <w:rPr>
            <w:noProof/>
            <w:webHidden/>
          </w:rPr>
        </w:r>
        <w:r w:rsidR="00EE00AA">
          <w:rPr>
            <w:noProof/>
            <w:webHidden/>
          </w:rPr>
          <w:fldChar w:fldCharType="separate"/>
        </w:r>
        <w:r w:rsidR="00EE00AA">
          <w:rPr>
            <w:noProof/>
            <w:webHidden/>
          </w:rPr>
          <w:t>84</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10" w:history="1">
        <w:r w:rsidR="00EE00AA" w:rsidRPr="00FC66C5">
          <w:rPr>
            <w:rStyle w:val="Hyperlink"/>
            <w:noProof/>
          </w:rPr>
          <w:t>7.4.2 Previous versus current ex-ante</w:t>
        </w:r>
        <w:r w:rsidR="00EE00AA">
          <w:rPr>
            <w:noProof/>
            <w:webHidden/>
          </w:rPr>
          <w:tab/>
        </w:r>
        <w:r w:rsidR="00EE00AA">
          <w:rPr>
            <w:noProof/>
            <w:webHidden/>
          </w:rPr>
          <w:fldChar w:fldCharType="begin"/>
        </w:r>
        <w:r w:rsidR="00EE00AA">
          <w:rPr>
            <w:noProof/>
            <w:webHidden/>
          </w:rPr>
          <w:instrText xml:space="preserve"> PAGEREF _Toc415231810 \h </w:instrText>
        </w:r>
        <w:r w:rsidR="00EE00AA">
          <w:rPr>
            <w:noProof/>
            <w:webHidden/>
          </w:rPr>
        </w:r>
        <w:r w:rsidR="00EE00AA">
          <w:rPr>
            <w:noProof/>
            <w:webHidden/>
          </w:rPr>
          <w:fldChar w:fldCharType="separate"/>
        </w:r>
        <w:r w:rsidR="00EE00AA">
          <w:rPr>
            <w:noProof/>
            <w:webHidden/>
          </w:rPr>
          <w:t>85</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11" w:history="1">
        <w:r w:rsidR="00EE00AA" w:rsidRPr="00FC66C5">
          <w:rPr>
            <w:rStyle w:val="Hyperlink"/>
            <w:noProof/>
          </w:rPr>
          <w:t>7.4.3 Current ex-post compared to previous ex-ante</w:t>
        </w:r>
        <w:r w:rsidR="00EE00AA">
          <w:rPr>
            <w:noProof/>
            <w:webHidden/>
          </w:rPr>
          <w:tab/>
        </w:r>
        <w:r w:rsidR="00EE00AA">
          <w:rPr>
            <w:noProof/>
            <w:webHidden/>
          </w:rPr>
          <w:fldChar w:fldCharType="begin"/>
        </w:r>
        <w:r w:rsidR="00EE00AA">
          <w:rPr>
            <w:noProof/>
            <w:webHidden/>
          </w:rPr>
          <w:instrText xml:space="preserve"> PAGEREF _Toc415231811 \h </w:instrText>
        </w:r>
        <w:r w:rsidR="00EE00AA">
          <w:rPr>
            <w:noProof/>
            <w:webHidden/>
          </w:rPr>
        </w:r>
        <w:r w:rsidR="00EE00AA">
          <w:rPr>
            <w:noProof/>
            <w:webHidden/>
          </w:rPr>
          <w:fldChar w:fldCharType="separate"/>
        </w:r>
        <w:r w:rsidR="00EE00AA">
          <w:rPr>
            <w:noProof/>
            <w:webHidden/>
          </w:rPr>
          <w:t>86</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812" w:history="1">
        <w:r w:rsidR="00EE00AA" w:rsidRPr="00FC66C5">
          <w:rPr>
            <w:rStyle w:val="Hyperlink"/>
            <w:noProof/>
          </w:rPr>
          <w:t>8.</w:t>
        </w:r>
        <w:r w:rsidR="00EE00AA">
          <w:rPr>
            <w:rFonts w:asciiTheme="minorHAnsi" w:eastAsiaTheme="minorEastAsia" w:hAnsiTheme="minorHAnsi" w:cstheme="minorBidi"/>
            <w:b w:val="0"/>
            <w:noProof/>
            <w:sz w:val="22"/>
            <w:szCs w:val="22"/>
          </w:rPr>
          <w:tab/>
        </w:r>
        <w:r w:rsidR="00EE00AA" w:rsidRPr="00FC66C5">
          <w:rPr>
            <w:rStyle w:val="Hyperlink"/>
            <w:noProof/>
          </w:rPr>
          <w:t>Model Selection and Validity Assessment</w:t>
        </w:r>
        <w:r w:rsidR="00EE00AA">
          <w:rPr>
            <w:noProof/>
            <w:webHidden/>
          </w:rPr>
          <w:tab/>
        </w:r>
        <w:r w:rsidR="00EE00AA">
          <w:rPr>
            <w:noProof/>
            <w:webHidden/>
          </w:rPr>
          <w:fldChar w:fldCharType="begin"/>
        </w:r>
        <w:r w:rsidR="00EE00AA">
          <w:rPr>
            <w:noProof/>
            <w:webHidden/>
          </w:rPr>
          <w:instrText xml:space="preserve"> PAGEREF _Toc415231812 \h </w:instrText>
        </w:r>
        <w:r w:rsidR="00EE00AA">
          <w:rPr>
            <w:noProof/>
            <w:webHidden/>
          </w:rPr>
        </w:r>
        <w:r w:rsidR="00EE00AA">
          <w:rPr>
            <w:noProof/>
            <w:webHidden/>
          </w:rPr>
          <w:fldChar w:fldCharType="separate"/>
        </w:r>
        <w:r w:rsidR="00EE00AA">
          <w:rPr>
            <w:noProof/>
            <w:webHidden/>
          </w:rPr>
          <w:t>86</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813" w:history="1">
        <w:r w:rsidR="00EE00AA" w:rsidRPr="00FC66C5">
          <w:rPr>
            <w:rStyle w:val="Hyperlink"/>
            <w:noProof/>
          </w:rPr>
          <w:t>8.1 Model Specification Tests</w:t>
        </w:r>
        <w:r w:rsidR="00EE00AA">
          <w:rPr>
            <w:noProof/>
            <w:webHidden/>
          </w:rPr>
          <w:tab/>
        </w:r>
        <w:r w:rsidR="00EE00AA">
          <w:rPr>
            <w:noProof/>
            <w:webHidden/>
          </w:rPr>
          <w:fldChar w:fldCharType="begin"/>
        </w:r>
        <w:r w:rsidR="00EE00AA">
          <w:rPr>
            <w:noProof/>
            <w:webHidden/>
          </w:rPr>
          <w:instrText xml:space="preserve"> PAGEREF _Toc415231813 \h </w:instrText>
        </w:r>
        <w:r w:rsidR="00EE00AA">
          <w:rPr>
            <w:noProof/>
            <w:webHidden/>
          </w:rPr>
        </w:r>
        <w:r w:rsidR="00EE00AA">
          <w:rPr>
            <w:noProof/>
            <w:webHidden/>
          </w:rPr>
          <w:fldChar w:fldCharType="separate"/>
        </w:r>
        <w:r w:rsidR="00EE00AA">
          <w:rPr>
            <w:noProof/>
            <w:webHidden/>
          </w:rPr>
          <w:t>86</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14" w:history="1">
        <w:r w:rsidR="00EE00AA" w:rsidRPr="00FC66C5">
          <w:rPr>
            <w:rStyle w:val="Hyperlink"/>
            <w:noProof/>
          </w:rPr>
          <w:t>8.1.1 Selection of Event-Like Non-Event Days</w:t>
        </w:r>
        <w:r w:rsidR="00EE00AA">
          <w:rPr>
            <w:noProof/>
            <w:webHidden/>
          </w:rPr>
          <w:tab/>
        </w:r>
        <w:r w:rsidR="00EE00AA">
          <w:rPr>
            <w:noProof/>
            <w:webHidden/>
          </w:rPr>
          <w:fldChar w:fldCharType="begin"/>
        </w:r>
        <w:r w:rsidR="00EE00AA">
          <w:rPr>
            <w:noProof/>
            <w:webHidden/>
          </w:rPr>
          <w:instrText xml:space="preserve"> PAGEREF _Toc415231814 \h </w:instrText>
        </w:r>
        <w:r w:rsidR="00EE00AA">
          <w:rPr>
            <w:noProof/>
            <w:webHidden/>
          </w:rPr>
        </w:r>
        <w:r w:rsidR="00EE00AA">
          <w:rPr>
            <w:noProof/>
            <w:webHidden/>
          </w:rPr>
          <w:fldChar w:fldCharType="separate"/>
        </w:r>
        <w:r w:rsidR="00EE00AA">
          <w:rPr>
            <w:noProof/>
            <w:webHidden/>
          </w:rPr>
          <w:t>88</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15" w:history="1">
        <w:r w:rsidR="00EE00AA" w:rsidRPr="00FC66C5">
          <w:rPr>
            <w:rStyle w:val="Hyperlink"/>
            <w:noProof/>
          </w:rPr>
          <w:t>8.1.2 Results from Tests of Alternative Weather Specifications</w:t>
        </w:r>
        <w:r w:rsidR="00EE00AA">
          <w:rPr>
            <w:noProof/>
            <w:webHidden/>
          </w:rPr>
          <w:tab/>
        </w:r>
        <w:r w:rsidR="00EE00AA">
          <w:rPr>
            <w:noProof/>
            <w:webHidden/>
          </w:rPr>
          <w:fldChar w:fldCharType="begin"/>
        </w:r>
        <w:r w:rsidR="00EE00AA">
          <w:rPr>
            <w:noProof/>
            <w:webHidden/>
          </w:rPr>
          <w:instrText xml:space="preserve"> PAGEREF _Toc415231815 \h </w:instrText>
        </w:r>
        <w:r w:rsidR="00EE00AA">
          <w:rPr>
            <w:noProof/>
            <w:webHidden/>
          </w:rPr>
        </w:r>
        <w:r w:rsidR="00EE00AA">
          <w:rPr>
            <w:noProof/>
            <w:webHidden/>
          </w:rPr>
          <w:fldChar w:fldCharType="separate"/>
        </w:r>
        <w:r w:rsidR="00EE00AA">
          <w:rPr>
            <w:noProof/>
            <w:webHidden/>
          </w:rPr>
          <w:t>88</w:t>
        </w:r>
        <w:r w:rsidR="00EE00AA">
          <w:rPr>
            <w:noProof/>
            <w:webHidden/>
          </w:rPr>
          <w:fldChar w:fldCharType="end"/>
        </w:r>
      </w:hyperlink>
    </w:p>
    <w:p w:rsidR="00EE00AA" w:rsidRDefault="00030F3E">
      <w:pPr>
        <w:pStyle w:val="TOC3"/>
        <w:rPr>
          <w:rFonts w:asciiTheme="minorHAnsi" w:eastAsiaTheme="minorEastAsia" w:hAnsiTheme="minorHAnsi" w:cstheme="minorBidi"/>
          <w:noProof/>
          <w:sz w:val="22"/>
          <w:szCs w:val="22"/>
        </w:rPr>
      </w:pPr>
      <w:hyperlink w:anchor="_Toc415231816" w:history="1">
        <w:r w:rsidR="00EE00AA" w:rsidRPr="00FC66C5">
          <w:rPr>
            <w:rStyle w:val="Hyperlink"/>
            <w:noProof/>
          </w:rPr>
          <w:t>8.1.3 Synthetic Event Day Tests</w:t>
        </w:r>
        <w:r w:rsidR="00EE00AA">
          <w:rPr>
            <w:noProof/>
            <w:webHidden/>
          </w:rPr>
          <w:tab/>
        </w:r>
        <w:r w:rsidR="00EE00AA">
          <w:rPr>
            <w:noProof/>
            <w:webHidden/>
          </w:rPr>
          <w:fldChar w:fldCharType="begin"/>
        </w:r>
        <w:r w:rsidR="00EE00AA">
          <w:rPr>
            <w:noProof/>
            <w:webHidden/>
          </w:rPr>
          <w:instrText xml:space="preserve"> PAGEREF _Toc415231816 \h </w:instrText>
        </w:r>
        <w:r w:rsidR="00EE00AA">
          <w:rPr>
            <w:noProof/>
            <w:webHidden/>
          </w:rPr>
        </w:r>
        <w:r w:rsidR="00EE00AA">
          <w:rPr>
            <w:noProof/>
            <w:webHidden/>
          </w:rPr>
          <w:fldChar w:fldCharType="separate"/>
        </w:r>
        <w:r w:rsidR="00EE00AA">
          <w:rPr>
            <w:noProof/>
            <w:webHidden/>
          </w:rPr>
          <w:t>92</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817" w:history="1">
        <w:r w:rsidR="00EE00AA" w:rsidRPr="00FC66C5">
          <w:rPr>
            <w:rStyle w:val="Hyperlink"/>
            <w:noProof/>
          </w:rPr>
          <w:t>8.2 Comparison of Predicted and Observed Loads on Event-like Days</w:t>
        </w:r>
        <w:r w:rsidR="00EE00AA">
          <w:rPr>
            <w:noProof/>
            <w:webHidden/>
          </w:rPr>
          <w:tab/>
        </w:r>
        <w:r w:rsidR="00EE00AA">
          <w:rPr>
            <w:noProof/>
            <w:webHidden/>
          </w:rPr>
          <w:fldChar w:fldCharType="begin"/>
        </w:r>
        <w:r w:rsidR="00EE00AA">
          <w:rPr>
            <w:noProof/>
            <w:webHidden/>
          </w:rPr>
          <w:instrText xml:space="preserve"> PAGEREF _Toc415231817 \h </w:instrText>
        </w:r>
        <w:r w:rsidR="00EE00AA">
          <w:rPr>
            <w:noProof/>
            <w:webHidden/>
          </w:rPr>
        </w:r>
        <w:r w:rsidR="00EE00AA">
          <w:rPr>
            <w:noProof/>
            <w:webHidden/>
          </w:rPr>
          <w:fldChar w:fldCharType="separate"/>
        </w:r>
        <w:r w:rsidR="00EE00AA">
          <w:rPr>
            <w:noProof/>
            <w:webHidden/>
          </w:rPr>
          <w:t>93</w:t>
        </w:r>
        <w:r w:rsidR="00EE00AA">
          <w:rPr>
            <w:noProof/>
            <w:webHidden/>
          </w:rPr>
          <w:fldChar w:fldCharType="end"/>
        </w:r>
      </w:hyperlink>
    </w:p>
    <w:p w:rsidR="00EE00AA" w:rsidRDefault="00030F3E">
      <w:pPr>
        <w:pStyle w:val="TOC2"/>
        <w:tabs>
          <w:tab w:val="right" w:leader="dot" w:pos="8630"/>
        </w:tabs>
        <w:rPr>
          <w:rFonts w:asciiTheme="minorHAnsi" w:eastAsiaTheme="minorEastAsia" w:hAnsiTheme="minorHAnsi" w:cstheme="minorBidi"/>
          <w:noProof/>
          <w:sz w:val="22"/>
          <w:szCs w:val="22"/>
        </w:rPr>
      </w:pPr>
      <w:hyperlink w:anchor="_Toc415231818" w:history="1">
        <w:r w:rsidR="00EE00AA" w:rsidRPr="00FC66C5">
          <w:rPr>
            <w:rStyle w:val="Hyperlink"/>
            <w:noProof/>
          </w:rPr>
          <w:t>8.3 Modifications to Customer-Level Model Results</w:t>
        </w:r>
        <w:r w:rsidR="00EE00AA">
          <w:rPr>
            <w:noProof/>
            <w:webHidden/>
          </w:rPr>
          <w:tab/>
        </w:r>
        <w:r w:rsidR="00EE00AA">
          <w:rPr>
            <w:noProof/>
            <w:webHidden/>
          </w:rPr>
          <w:fldChar w:fldCharType="begin"/>
        </w:r>
        <w:r w:rsidR="00EE00AA">
          <w:rPr>
            <w:noProof/>
            <w:webHidden/>
          </w:rPr>
          <w:instrText xml:space="preserve"> PAGEREF _Toc415231818 \h </w:instrText>
        </w:r>
        <w:r w:rsidR="00EE00AA">
          <w:rPr>
            <w:noProof/>
            <w:webHidden/>
          </w:rPr>
        </w:r>
        <w:r w:rsidR="00EE00AA">
          <w:rPr>
            <w:noProof/>
            <w:webHidden/>
          </w:rPr>
          <w:fldChar w:fldCharType="separate"/>
        </w:r>
        <w:r w:rsidR="00EE00AA">
          <w:rPr>
            <w:noProof/>
            <w:webHidden/>
          </w:rPr>
          <w:t>96</w:t>
        </w:r>
        <w:r w:rsidR="00EE00AA">
          <w:rPr>
            <w:noProof/>
            <w:webHidden/>
          </w:rPr>
          <w:fldChar w:fldCharType="end"/>
        </w:r>
      </w:hyperlink>
    </w:p>
    <w:p w:rsidR="00EE00AA" w:rsidRDefault="00030F3E">
      <w:pPr>
        <w:pStyle w:val="TOC1"/>
        <w:tabs>
          <w:tab w:val="left" w:pos="880"/>
        </w:tabs>
        <w:rPr>
          <w:rFonts w:asciiTheme="minorHAnsi" w:eastAsiaTheme="minorEastAsia" w:hAnsiTheme="minorHAnsi" w:cstheme="minorBidi"/>
          <w:b w:val="0"/>
          <w:noProof/>
          <w:sz w:val="22"/>
          <w:szCs w:val="22"/>
        </w:rPr>
      </w:pPr>
      <w:hyperlink w:anchor="_Toc415231819" w:history="1">
        <w:r w:rsidR="00EE00AA" w:rsidRPr="00FC66C5">
          <w:rPr>
            <w:rStyle w:val="Hyperlink"/>
            <w:noProof/>
          </w:rPr>
          <w:t>9.</w:t>
        </w:r>
        <w:r w:rsidR="00EE00AA">
          <w:rPr>
            <w:rFonts w:asciiTheme="minorHAnsi" w:eastAsiaTheme="minorEastAsia" w:hAnsiTheme="minorHAnsi" w:cstheme="minorBidi"/>
            <w:b w:val="0"/>
            <w:noProof/>
            <w:sz w:val="22"/>
            <w:szCs w:val="22"/>
          </w:rPr>
          <w:tab/>
        </w:r>
        <w:r w:rsidR="00EE00AA" w:rsidRPr="00FC66C5">
          <w:rPr>
            <w:rStyle w:val="Hyperlink"/>
            <w:noProof/>
          </w:rPr>
          <w:t>Recommendations</w:t>
        </w:r>
        <w:r w:rsidR="00EE00AA">
          <w:rPr>
            <w:noProof/>
            <w:webHidden/>
          </w:rPr>
          <w:tab/>
        </w:r>
        <w:r w:rsidR="00EE00AA">
          <w:rPr>
            <w:noProof/>
            <w:webHidden/>
          </w:rPr>
          <w:fldChar w:fldCharType="begin"/>
        </w:r>
        <w:r w:rsidR="00EE00AA">
          <w:rPr>
            <w:noProof/>
            <w:webHidden/>
          </w:rPr>
          <w:instrText xml:space="preserve"> PAGEREF _Toc415231819 \h </w:instrText>
        </w:r>
        <w:r w:rsidR="00EE00AA">
          <w:rPr>
            <w:noProof/>
            <w:webHidden/>
          </w:rPr>
        </w:r>
        <w:r w:rsidR="00EE00AA">
          <w:rPr>
            <w:noProof/>
            <w:webHidden/>
          </w:rPr>
          <w:fldChar w:fldCharType="separate"/>
        </w:r>
        <w:r w:rsidR="00EE00AA">
          <w:rPr>
            <w:noProof/>
            <w:webHidden/>
          </w:rPr>
          <w:t>97</w:t>
        </w:r>
        <w:r w:rsidR="00EE00AA">
          <w:rPr>
            <w:noProof/>
            <w:webHidden/>
          </w:rPr>
          <w:fldChar w:fldCharType="end"/>
        </w:r>
      </w:hyperlink>
    </w:p>
    <w:p w:rsidR="00EE00AA" w:rsidRDefault="00030F3E">
      <w:pPr>
        <w:pStyle w:val="TOC1"/>
        <w:rPr>
          <w:rFonts w:asciiTheme="minorHAnsi" w:eastAsiaTheme="minorEastAsia" w:hAnsiTheme="minorHAnsi" w:cstheme="minorBidi"/>
          <w:b w:val="0"/>
          <w:noProof/>
          <w:sz w:val="22"/>
          <w:szCs w:val="22"/>
        </w:rPr>
      </w:pPr>
      <w:hyperlink w:anchor="_Toc415231820" w:history="1">
        <w:r w:rsidR="00EE00AA" w:rsidRPr="00FC66C5">
          <w:rPr>
            <w:rStyle w:val="Hyperlink"/>
            <w:noProof/>
          </w:rPr>
          <w:t>Appendices</w:t>
        </w:r>
        <w:r w:rsidR="00EE00AA">
          <w:rPr>
            <w:noProof/>
            <w:webHidden/>
          </w:rPr>
          <w:tab/>
        </w:r>
        <w:r w:rsidR="00EE00AA">
          <w:rPr>
            <w:noProof/>
            <w:webHidden/>
          </w:rPr>
          <w:fldChar w:fldCharType="begin"/>
        </w:r>
        <w:r w:rsidR="00EE00AA">
          <w:rPr>
            <w:noProof/>
            <w:webHidden/>
          </w:rPr>
          <w:instrText xml:space="preserve"> PAGEREF _Toc415231820 \h </w:instrText>
        </w:r>
        <w:r w:rsidR="00EE00AA">
          <w:rPr>
            <w:noProof/>
            <w:webHidden/>
          </w:rPr>
        </w:r>
        <w:r w:rsidR="00EE00AA">
          <w:rPr>
            <w:noProof/>
            <w:webHidden/>
          </w:rPr>
          <w:fldChar w:fldCharType="separate"/>
        </w:r>
        <w:r w:rsidR="00EE00AA">
          <w:rPr>
            <w:noProof/>
            <w:webHidden/>
          </w:rPr>
          <w:t>98</w:t>
        </w:r>
        <w:r w:rsidR="00EE00AA">
          <w:rPr>
            <w:noProof/>
            <w:webHidden/>
          </w:rPr>
          <w:fldChar w:fldCharType="end"/>
        </w:r>
      </w:hyperlink>
    </w:p>
    <w:p w:rsidR="00952923" w:rsidRDefault="00952923" w:rsidP="00952923">
      <w:pPr>
        <w:jc w:val="center"/>
        <w:rPr>
          <w:b/>
          <w:sz w:val="28"/>
          <w:szCs w:val="28"/>
        </w:rPr>
        <w:sectPr w:rsidR="00952923" w:rsidSect="00952923">
          <w:headerReference w:type="default" r:id="rId11"/>
          <w:footerReference w:type="default" r:id="rId12"/>
          <w:pgSz w:w="12240" w:h="15840"/>
          <w:pgMar w:top="1440" w:right="1800" w:bottom="1296" w:left="1800" w:header="720" w:footer="720" w:gutter="0"/>
          <w:pgNumType w:fmt="lowerRoman" w:start="1"/>
          <w:cols w:space="720"/>
          <w:docGrid w:linePitch="360"/>
        </w:sectPr>
      </w:pPr>
      <w:r w:rsidRPr="00421999">
        <w:rPr>
          <w:sz w:val="22"/>
          <w:szCs w:val="22"/>
        </w:rPr>
        <w:fldChar w:fldCharType="end"/>
      </w:r>
    </w:p>
    <w:p w:rsidR="00952923" w:rsidRPr="00952923" w:rsidRDefault="00952923" w:rsidP="00952923">
      <w:pPr>
        <w:jc w:val="center"/>
        <w:rPr>
          <w:b/>
        </w:rPr>
      </w:pPr>
      <w:r w:rsidRPr="00952923">
        <w:rPr>
          <w:b/>
        </w:rPr>
        <w:lastRenderedPageBreak/>
        <w:t>Tables</w:t>
      </w:r>
    </w:p>
    <w:p w:rsidR="00952923" w:rsidRDefault="00952923" w:rsidP="00952923">
      <w:pPr>
        <w:pStyle w:val="FigureCaption"/>
        <w:tabs>
          <w:tab w:val="right" w:leader="dot" w:pos="8630"/>
        </w:tabs>
        <w:rPr>
          <w:b w:val="0"/>
          <w:sz w:val="28"/>
          <w:szCs w:val="28"/>
        </w:rPr>
      </w:pPr>
    </w:p>
    <w:p w:rsidR="00E146A7" w:rsidRDefault="00952923">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"Table Caption" \c </w:instrText>
      </w:r>
      <w:r>
        <w:rPr>
          <w:b/>
          <w:sz w:val="28"/>
          <w:szCs w:val="28"/>
        </w:rPr>
        <w:fldChar w:fldCharType="separate"/>
      </w:r>
      <w:hyperlink w:anchor="_Toc414545876" w:history="1">
        <w:r w:rsidR="00E146A7" w:rsidRPr="00C71635">
          <w:rPr>
            <w:rStyle w:val="Hyperlink"/>
            <w:noProof/>
          </w:rPr>
          <w:t>Table ES–1: Nominated Service Accounts by Utility and Program Notice</w:t>
        </w:r>
        <w:r w:rsidR="00E146A7">
          <w:rPr>
            <w:noProof/>
            <w:webHidden/>
          </w:rPr>
          <w:tab/>
        </w:r>
        <w:r w:rsidR="00E146A7">
          <w:rPr>
            <w:noProof/>
            <w:webHidden/>
          </w:rPr>
          <w:fldChar w:fldCharType="begin"/>
        </w:r>
        <w:r w:rsidR="00E146A7">
          <w:rPr>
            <w:noProof/>
            <w:webHidden/>
          </w:rPr>
          <w:instrText xml:space="preserve"> PAGEREF _Toc414545876 \h </w:instrText>
        </w:r>
        <w:r w:rsidR="00E146A7">
          <w:rPr>
            <w:noProof/>
            <w:webHidden/>
          </w:rPr>
        </w:r>
        <w:r w:rsidR="00E146A7">
          <w:rPr>
            <w:noProof/>
            <w:webHidden/>
          </w:rPr>
          <w:fldChar w:fldCharType="separate"/>
        </w:r>
        <w:r w:rsidR="00EE00AA">
          <w:rPr>
            <w:noProof/>
            <w:webHidden/>
          </w:rPr>
          <w:t>11</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77" w:history="1">
        <w:r w:rsidR="00E146A7" w:rsidRPr="00C71635">
          <w:rPr>
            <w:rStyle w:val="Hyperlink"/>
            <w:noProof/>
          </w:rPr>
          <w:t>Table ES–2: Aggregator Program Events Called in 2014</w:t>
        </w:r>
        <w:r w:rsidR="00E146A7">
          <w:rPr>
            <w:noProof/>
            <w:webHidden/>
          </w:rPr>
          <w:tab/>
        </w:r>
        <w:r w:rsidR="00E146A7">
          <w:rPr>
            <w:noProof/>
            <w:webHidden/>
          </w:rPr>
          <w:fldChar w:fldCharType="begin"/>
        </w:r>
        <w:r w:rsidR="00E146A7">
          <w:rPr>
            <w:noProof/>
            <w:webHidden/>
          </w:rPr>
          <w:instrText xml:space="preserve"> PAGEREF _Toc414545877 \h </w:instrText>
        </w:r>
        <w:r w:rsidR="00E146A7">
          <w:rPr>
            <w:noProof/>
            <w:webHidden/>
          </w:rPr>
        </w:r>
        <w:r w:rsidR="00E146A7">
          <w:rPr>
            <w:noProof/>
            <w:webHidden/>
          </w:rPr>
          <w:fldChar w:fldCharType="separate"/>
        </w:r>
        <w:r w:rsidR="00EE00AA">
          <w:rPr>
            <w:noProof/>
            <w:webHidden/>
          </w:rPr>
          <w:t>11</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78" w:history="1">
        <w:r w:rsidR="00E146A7" w:rsidRPr="00C71635">
          <w:rPr>
            <w:rStyle w:val="Hyperlink"/>
            <w:noProof/>
          </w:rPr>
          <w:t xml:space="preserve">Table ES–3: Average Event-Hour Load Impacts – Per-Customer and Aggregate </w:t>
        </w:r>
        <w:r w:rsidR="00E146A7" w:rsidRPr="00C71635">
          <w:rPr>
            <w:rStyle w:val="Hyperlink"/>
            <w:i/>
            <w:noProof/>
          </w:rPr>
          <w:t>by Utility and Notice</w:t>
        </w:r>
        <w:r w:rsidR="00E146A7">
          <w:rPr>
            <w:noProof/>
            <w:webHidden/>
          </w:rPr>
          <w:tab/>
        </w:r>
        <w:r w:rsidR="00E146A7">
          <w:rPr>
            <w:noProof/>
            <w:webHidden/>
          </w:rPr>
          <w:fldChar w:fldCharType="begin"/>
        </w:r>
        <w:r w:rsidR="00E146A7">
          <w:rPr>
            <w:noProof/>
            <w:webHidden/>
          </w:rPr>
          <w:instrText xml:space="preserve"> PAGEREF _Toc414545878 \h </w:instrText>
        </w:r>
        <w:r w:rsidR="00E146A7">
          <w:rPr>
            <w:noProof/>
            <w:webHidden/>
          </w:rPr>
        </w:r>
        <w:r w:rsidR="00E146A7">
          <w:rPr>
            <w:noProof/>
            <w:webHidden/>
          </w:rPr>
          <w:fldChar w:fldCharType="separate"/>
        </w:r>
        <w:r w:rsidR="00EE00AA">
          <w:rPr>
            <w:noProof/>
            <w:webHidden/>
          </w:rPr>
          <w:t>12</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79" w:history="1">
        <w:r w:rsidR="00E146A7" w:rsidRPr="00C71635">
          <w:rPr>
            <w:rStyle w:val="Hyperlink"/>
            <w:noProof/>
          </w:rPr>
          <w:t xml:space="preserve">Table ES–4: </w:t>
        </w:r>
        <w:r w:rsidR="00E146A7" w:rsidRPr="00C71635">
          <w:rPr>
            <w:rStyle w:val="Hyperlink"/>
            <w:i/>
            <w:noProof/>
          </w:rPr>
          <w:t>Ex-Ante</w:t>
        </w:r>
        <w:r w:rsidR="00E146A7" w:rsidRPr="00C71635">
          <w:rPr>
            <w:rStyle w:val="Hyperlink"/>
            <w:noProof/>
          </w:rPr>
          <w:t xml:space="preserve"> Load Impacts for August Peak Day in 2015 under Alternative Weather Scenarios (MW)</w:t>
        </w:r>
        <w:r w:rsidR="00E146A7">
          <w:rPr>
            <w:noProof/>
            <w:webHidden/>
          </w:rPr>
          <w:tab/>
        </w:r>
        <w:r w:rsidR="00E146A7">
          <w:rPr>
            <w:noProof/>
            <w:webHidden/>
          </w:rPr>
          <w:fldChar w:fldCharType="begin"/>
        </w:r>
        <w:r w:rsidR="00E146A7">
          <w:rPr>
            <w:noProof/>
            <w:webHidden/>
          </w:rPr>
          <w:instrText xml:space="preserve"> PAGEREF _Toc414545879 \h </w:instrText>
        </w:r>
        <w:r w:rsidR="00E146A7">
          <w:rPr>
            <w:noProof/>
            <w:webHidden/>
          </w:rPr>
        </w:r>
        <w:r w:rsidR="00E146A7">
          <w:rPr>
            <w:noProof/>
            <w:webHidden/>
          </w:rPr>
          <w:fldChar w:fldCharType="separate"/>
        </w:r>
        <w:r w:rsidR="00EE00AA">
          <w:rPr>
            <w:noProof/>
            <w:webHidden/>
          </w:rPr>
          <w:t>12</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0" w:history="1">
        <w:r w:rsidR="00E146A7" w:rsidRPr="00C71635">
          <w:rPr>
            <w:rStyle w:val="Hyperlink"/>
            <w:noProof/>
          </w:rPr>
          <w:t>Table 2–1: CBP Nominated Service Accounts, by Utility and Industry Group (2014)</w:t>
        </w:r>
        <w:r w:rsidR="00E146A7">
          <w:rPr>
            <w:noProof/>
            <w:webHidden/>
          </w:rPr>
          <w:tab/>
        </w:r>
        <w:r w:rsidR="00E146A7">
          <w:rPr>
            <w:noProof/>
            <w:webHidden/>
          </w:rPr>
          <w:fldChar w:fldCharType="begin"/>
        </w:r>
        <w:r w:rsidR="00E146A7">
          <w:rPr>
            <w:noProof/>
            <w:webHidden/>
          </w:rPr>
          <w:instrText xml:space="preserve"> PAGEREF _Toc414545880 \h </w:instrText>
        </w:r>
        <w:r w:rsidR="00E146A7">
          <w:rPr>
            <w:noProof/>
            <w:webHidden/>
          </w:rPr>
        </w:r>
        <w:r w:rsidR="00E146A7">
          <w:rPr>
            <w:noProof/>
            <w:webHidden/>
          </w:rPr>
          <w:fldChar w:fldCharType="separate"/>
        </w:r>
        <w:r w:rsidR="00EE00AA">
          <w:rPr>
            <w:noProof/>
            <w:webHidden/>
          </w:rPr>
          <w:t>15</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1" w:history="1">
        <w:r w:rsidR="00E146A7" w:rsidRPr="00C71635">
          <w:rPr>
            <w:rStyle w:val="Hyperlink"/>
            <w:noProof/>
          </w:rPr>
          <w:t>Table 2–2: Industry Type Definitions</w:t>
        </w:r>
        <w:r w:rsidR="00E146A7">
          <w:rPr>
            <w:noProof/>
            <w:webHidden/>
          </w:rPr>
          <w:tab/>
        </w:r>
        <w:r w:rsidR="00E146A7">
          <w:rPr>
            <w:noProof/>
            <w:webHidden/>
          </w:rPr>
          <w:fldChar w:fldCharType="begin"/>
        </w:r>
        <w:r w:rsidR="00E146A7">
          <w:rPr>
            <w:noProof/>
            <w:webHidden/>
          </w:rPr>
          <w:instrText xml:space="preserve"> PAGEREF _Toc414545881 \h </w:instrText>
        </w:r>
        <w:r w:rsidR="00E146A7">
          <w:rPr>
            <w:noProof/>
            <w:webHidden/>
          </w:rPr>
        </w:r>
        <w:r w:rsidR="00E146A7">
          <w:rPr>
            <w:noProof/>
            <w:webHidden/>
          </w:rPr>
          <w:fldChar w:fldCharType="separate"/>
        </w:r>
        <w:r w:rsidR="00EE00AA">
          <w:rPr>
            <w:noProof/>
            <w:webHidden/>
          </w:rPr>
          <w:t>16</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2" w:history="1">
        <w:r w:rsidR="00E146A7" w:rsidRPr="00C71635">
          <w:rPr>
            <w:rStyle w:val="Hyperlink"/>
            <w:noProof/>
          </w:rPr>
          <w:t>Table 2–3: PG&amp;E AMP Nominated Service Accounts, by Industry Group</w:t>
        </w:r>
        <w:r w:rsidR="00E146A7">
          <w:rPr>
            <w:noProof/>
            <w:webHidden/>
          </w:rPr>
          <w:tab/>
        </w:r>
        <w:r w:rsidR="00E146A7">
          <w:rPr>
            <w:noProof/>
            <w:webHidden/>
          </w:rPr>
          <w:fldChar w:fldCharType="begin"/>
        </w:r>
        <w:r w:rsidR="00E146A7">
          <w:rPr>
            <w:noProof/>
            <w:webHidden/>
          </w:rPr>
          <w:instrText xml:space="preserve"> PAGEREF _Toc414545882 \h </w:instrText>
        </w:r>
        <w:r w:rsidR="00E146A7">
          <w:rPr>
            <w:noProof/>
            <w:webHidden/>
          </w:rPr>
        </w:r>
        <w:r w:rsidR="00E146A7">
          <w:rPr>
            <w:noProof/>
            <w:webHidden/>
          </w:rPr>
          <w:fldChar w:fldCharType="separate"/>
        </w:r>
        <w:r w:rsidR="00EE00AA">
          <w:rPr>
            <w:noProof/>
            <w:webHidden/>
          </w:rPr>
          <w:t>17</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3" w:history="1">
        <w:r w:rsidR="00E146A7" w:rsidRPr="00C71635">
          <w:rPr>
            <w:rStyle w:val="Hyperlink"/>
            <w:noProof/>
          </w:rPr>
          <w:t>Table 2–4: SCE AMP Nominated Service Accounts, by Industry Group</w:t>
        </w:r>
        <w:r w:rsidR="00E146A7">
          <w:rPr>
            <w:noProof/>
            <w:webHidden/>
          </w:rPr>
          <w:tab/>
        </w:r>
        <w:r w:rsidR="00E146A7">
          <w:rPr>
            <w:noProof/>
            <w:webHidden/>
          </w:rPr>
          <w:fldChar w:fldCharType="begin"/>
        </w:r>
        <w:r w:rsidR="00E146A7">
          <w:rPr>
            <w:noProof/>
            <w:webHidden/>
          </w:rPr>
          <w:instrText xml:space="preserve"> PAGEREF _Toc414545883 \h </w:instrText>
        </w:r>
        <w:r w:rsidR="00E146A7">
          <w:rPr>
            <w:noProof/>
            <w:webHidden/>
          </w:rPr>
        </w:r>
        <w:r w:rsidR="00E146A7">
          <w:rPr>
            <w:noProof/>
            <w:webHidden/>
          </w:rPr>
          <w:fldChar w:fldCharType="separate"/>
        </w:r>
        <w:r w:rsidR="00EE00AA">
          <w:rPr>
            <w:noProof/>
            <w:webHidden/>
          </w:rPr>
          <w:t>18</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4" w:history="1">
        <w:r w:rsidR="00E146A7" w:rsidRPr="00C71635">
          <w:rPr>
            <w:rStyle w:val="Hyperlink"/>
            <w:noProof/>
          </w:rPr>
          <w:t xml:space="preserve">Table 3–1: Descriptions of Terms included in the </w:t>
        </w:r>
        <w:r w:rsidR="00E146A7" w:rsidRPr="00C71635">
          <w:rPr>
            <w:rStyle w:val="Hyperlink"/>
            <w:i/>
            <w:noProof/>
          </w:rPr>
          <w:t>Ex-Post</w:t>
        </w:r>
        <w:r w:rsidR="00E146A7" w:rsidRPr="00C71635">
          <w:rPr>
            <w:rStyle w:val="Hyperlink"/>
            <w:noProof/>
          </w:rPr>
          <w:t xml:space="preserve"> Regression Equation</w:t>
        </w:r>
        <w:r w:rsidR="00E146A7">
          <w:rPr>
            <w:noProof/>
            <w:webHidden/>
          </w:rPr>
          <w:tab/>
        </w:r>
        <w:r w:rsidR="00E146A7">
          <w:rPr>
            <w:noProof/>
            <w:webHidden/>
          </w:rPr>
          <w:fldChar w:fldCharType="begin"/>
        </w:r>
        <w:r w:rsidR="00E146A7">
          <w:rPr>
            <w:noProof/>
            <w:webHidden/>
          </w:rPr>
          <w:instrText xml:space="preserve"> PAGEREF _Toc414545884 \h </w:instrText>
        </w:r>
        <w:r w:rsidR="00E146A7">
          <w:rPr>
            <w:noProof/>
            <w:webHidden/>
          </w:rPr>
        </w:r>
        <w:r w:rsidR="00E146A7">
          <w:rPr>
            <w:noProof/>
            <w:webHidden/>
          </w:rPr>
          <w:fldChar w:fldCharType="separate"/>
        </w:r>
        <w:r w:rsidR="00EE00AA">
          <w:rPr>
            <w:noProof/>
            <w:webHidden/>
          </w:rPr>
          <w:t>20</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5" w:history="1">
        <w:r w:rsidR="00E146A7" w:rsidRPr="00C71635">
          <w:rPr>
            <w:rStyle w:val="Hyperlink"/>
            <w:noProof/>
          </w:rPr>
          <w:t xml:space="preserve">Table 4–1: Event Summary for 2014 – </w:t>
        </w:r>
        <w:r w:rsidR="00E146A7" w:rsidRPr="00C71635">
          <w:rPr>
            <w:rStyle w:val="Hyperlink"/>
            <w:i/>
            <w:noProof/>
          </w:rPr>
          <w:t>PG&amp;E CBP</w:t>
        </w:r>
        <w:r w:rsidR="00E146A7">
          <w:rPr>
            <w:noProof/>
            <w:webHidden/>
          </w:rPr>
          <w:tab/>
        </w:r>
        <w:r w:rsidR="00E146A7">
          <w:rPr>
            <w:noProof/>
            <w:webHidden/>
          </w:rPr>
          <w:fldChar w:fldCharType="begin"/>
        </w:r>
        <w:r w:rsidR="00E146A7">
          <w:rPr>
            <w:noProof/>
            <w:webHidden/>
          </w:rPr>
          <w:instrText xml:space="preserve"> PAGEREF _Toc414545885 \h </w:instrText>
        </w:r>
        <w:r w:rsidR="00E146A7">
          <w:rPr>
            <w:noProof/>
            <w:webHidden/>
          </w:rPr>
        </w:r>
        <w:r w:rsidR="00E146A7">
          <w:rPr>
            <w:noProof/>
            <w:webHidden/>
          </w:rPr>
          <w:fldChar w:fldCharType="separate"/>
        </w:r>
        <w:r w:rsidR="00EE00AA">
          <w:rPr>
            <w:noProof/>
            <w:webHidden/>
          </w:rPr>
          <w:t>23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6" w:history="1">
        <w:r w:rsidR="00E146A7" w:rsidRPr="00C71635">
          <w:rPr>
            <w:rStyle w:val="Hyperlink"/>
            <w:noProof/>
          </w:rPr>
          <w:t xml:space="preserve">Table 4–2: Average Event-Hour Loads and Load Impacts by Event – </w:t>
        </w:r>
        <w:r w:rsidR="00E146A7" w:rsidRPr="00C71635">
          <w:rPr>
            <w:rStyle w:val="Hyperlink"/>
            <w:i/>
            <w:noProof/>
          </w:rPr>
          <w:t>PG&amp;E CBP</w:t>
        </w:r>
        <w:r w:rsidR="00E146A7">
          <w:rPr>
            <w:noProof/>
            <w:webHidden/>
          </w:rPr>
          <w:tab/>
        </w:r>
        <w:r w:rsidR="00E146A7">
          <w:rPr>
            <w:noProof/>
            <w:webHidden/>
          </w:rPr>
          <w:fldChar w:fldCharType="begin"/>
        </w:r>
        <w:r w:rsidR="00E146A7">
          <w:rPr>
            <w:noProof/>
            <w:webHidden/>
          </w:rPr>
          <w:instrText xml:space="preserve"> PAGEREF _Toc414545886 \h </w:instrText>
        </w:r>
        <w:r w:rsidR="00E146A7">
          <w:rPr>
            <w:noProof/>
            <w:webHidden/>
          </w:rPr>
        </w:r>
        <w:r w:rsidR="00E146A7">
          <w:rPr>
            <w:noProof/>
            <w:webHidden/>
          </w:rPr>
          <w:fldChar w:fldCharType="separate"/>
        </w:r>
        <w:r w:rsidR="00EE00AA">
          <w:rPr>
            <w:noProof/>
            <w:webHidden/>
          </w:rPr>
          <w:t>25</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7" w:history="1">
        <w:r w:rsidR="00E146A7" w:rsidRPr="00C71635">
          <w:rPr>
            <w:rStyle w:val="Hyperlink"/>
            <w:noProof/>
          </w:rPr>
          <w:t xml:space="preserve">Table 4–3: Distribution of Average Event-Hour Load Impacts by Industry Type – </w:t>
        </w:r>
        <w:r w:rsidR="00E146A7" w:rsidRPr="00C71635">
          <w:rPr>
            <w:rStyle w:val="Hyperlink"/>
            <w:i/>
            <w:noProof/>
          </w:rPr>
          <w:t>PG&amp;E CBP</w:t>
        </w:r>
        <w:r w:rsidR="00E146A7">
          <w:rPr>
            <w:noProof/>
            <w:webHidden/>
          </w:rPr>
          <w:tab/>
        </w:r>
        <w:r w:rsidR="00E146A7">
          <w:rPr>
            <w:noProof/>
            <w:webHidden/>
          </w:rPr>
          <w:fldChar w:fldCharType="begin"/>
        </w:r>
        <w:r w:rsidR="00E146A7">
          <w:rPr>
            <w:noProof/>
            <w:webHidden/>
          </w:rPr>
          <w:instrText xml:space="preserve"> PAGEREF _Toc414545887 \h </w:instrText>
        </w:r>
        <w:r w:rsidR="00E146A7">
          <w:rPr>
            <w:noProof/>
            <w:webHidden/>
          </w:rPr>
        </w:r>
        <w:r w:rsidR="00E146A7">
          <w:rPr>
            <w:noProof/>
            <w:webHidden/>
          </w:rPr>
          <w:fldChar w:fldCharType="separate"/>
        </w:r>
        <w:r w:rsidR="00EE00AA">
          <w:rPr>
            <w:noProof/>
            <w:webHidden/>
          </w:rPr>
          <w:t>26</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8" w:history="1">
        <w:r w:rsidR="00E146A7" w:rsidRPr="00C71635">
          <w:rPr>
            <w:rStyle w:val="Hyperlink"/>
            <w:noProof/>
          </w:rPr>
          <w:t xml:space="preserve">Table 4–4: Distribution of Average Event-Hour Load Impacts by LCA – </w:t>
        </w:r>
        <w:r w:rsidR="00E146A7" w:rsidRPr="00C71635">
          <w:rPr>
            <w:rStyle w:val="Hyperlink"/>
            <w:i/>
            <w:noProof/>
          </w:rPr>
          <w:t>PG&amp;E CBP</w:t>
        </w:r>
        <w:r w:rsidR="00E146A7">
          <w:rPr>
            <w:noProof/>
            <w:webHidden/>
          </w:rPr>
          <w:tab/>
        </w:r>
        <w:r w:rsidR="00E146A7">
          <w:rPr>
            <w:noProof/>
            <w:webHidden/>
          </w:rPr>
          <w:fldChar w:fldCharType="begin"/>
        </w:r>
        <w:r w:rsidR="00E146A7">
          <w:rPr>
            <w:noProof/>
            <w:webHidden/>
          </w:rPr>
          <w:instrText xml:space="preserve"> PAGEREF _Toc414545888 \h </w:instrText>
        </w:r>
        <w:r w:rsidR="00E146A7">
          <w:rPr>
            <w:noProof/>
            <w:webHidden/>
          </w:rPr>
        </w:r>
        <w:r w:rsidR="00E146A7">
          <w:rPr>
            <w:noProof/>
            <w:webHidden/>
          </w:rPr>
          <w:fldChar w:fldCharType="separate"/>
        </w:r>
        <w:r w:rsidR="00EE00AA">
          <w:rPr>
            <w:noProof/>
            <w:webHidden/>
          </w:rPr>
          <w:t>27</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89" w:history="1">
        <w:r w:rsidR="00E146A7" w:rsidRPr="00C71635">
          <w:rPr>
            <w:rStyle w:val="Hyperlink"/>
            <w:noProof/>
          </w:rPr>
          <w:t xml:space="preserve">Table 4–5: Load Impacts of TA/TI Participants – </w:t>
        </w:r>
        <w:r w:rsidR="00E146A7" w:rsidRPr="00C71635">
          <w:rPr>
            <w:rStyle w:val="Hyperlink"/>
            <w:i/>
            <w:noProof/>
          </w:rPr>
          <w:t>PG&amp;E CBP</w:t>
        </w:r>
        <w:r w:rsidR="00E146A7">
          <w:rPr>
            <w:noProof/>
            <w:webHidden/>
          </w:rPr>
          <w:tab/>
        </w:r>
        <w:r w:rsidR="00E146A7">
          <w:rPr>
            <w:noProof/>
            <w:webHidden/>
          </w:rPr>
          <w:fldChar w:fldCharType="begin"/>
        </w:r>
        <w:r w:rsidR="00E146A7">
          <w:rPr>
            <w:noProof/>
            <w:webHidden/>
          </w:rPr>
          <w:instrText xml:space="preserve"> PAGEREF _Toc414545889 \h </w:instrText>
        </w:r>
        <w:r w:rsidR="00E146A7">
          <w:rPr>
            <w:noProof/>
            <w:webHidden/>
          </w:rPr>
        </w:r>
        <w:r w:rsidR="00E146A7">
          <w:rPr>
            <w:noProof/>
            <w:webHidden/>
          </w:rPr>
          <w:fldChar w:fldCharType="separate"/>
        </w:r>
        <w:r w:rsidR="00EE00AA">
          <w:rPr>
            <w:noProof/>
            <w:webHidden/>
          </w:rPr>
          <w:t>30</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0" w:history="1">
        <w:r w:rsidR="00E146A7" w:rsidRPr="00C71635">
          <w:rPr>
            <w:rStyle w:val="Hyperlink"/>
            <w:noProof/>
          </w:rPr>
          <w:t xml:space="preserve">Table 4–6: Load Impacts of AutoDR Participants – </w:t>
        </w:r>
        <w:r w:rsidR="00E146A7" w:rsidRPr="00C71635">
          <w:rPr>
            <w:rStyle w:val="Hyperlink"/>
            <w:i/>
            <w:noProof/>
          </w:rPr>
          <w:t>PG&amp;E CBP</w:t>
        </w:r>
        <w:r w:rsidR="00E146A7">
          <w:rPr>
            <w:noProof/>
            <w:webHidden/>
          </w:rPr>
          <w:tab/>
        </w:r>
        <w:r w:rsidR="00E146A7">
          <w:rPr>
            <w:noProof/>
            <w:webHidden/>
          </w:rPr>
          <w:fldChar w:fldCharType="begin"/>
        </w:r>
        <w:r w:rsidR="00E146A7">
          <w:rPr>
            <w:noProof/>
            <w:webHidden/>
          </w:rPr>
          <w:instrText xml:space="preserve"> PAGEREF _Toc414545890 \h </w:instrText>
        </w:r>
        <w:r w:rsidR="00E146A7">
          <w:rPr>
            <w:noProof/>
            <w:webHidden/>
          </w:rPr>
        </w:r>
        <w:r w:rsidR="00E146A7">
          <w:rPr>
            <w:noProof/>
            <w:webHidden/>
          </w:rPr>
          <w:fldChar w:fldCharType="separate"/>
        </w:r>
        <w:r w:rsidR="00EE00AA">
          <w:rPr>
            <w:noProof/>
            <w:webHidden/>
          </w:rPr>
          <w:t>31</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1" w:history="1">
        <w:r w:rsidR="00E146A7" w:rsidRPr="00C71635">
          <w:rPr>
            <w:rStyle w:val="Hyperlink"/>
            <w:noProof/>
          </w:rPr>
          <w:t>Table 4–7: Event Summary for 2014 – SCE CBP</w:t>
        </w:r>
        <w:r w:rsidR="00E146A7">
          <w:rPr>
            <w:noProof/>
            <w:webHidden/>
          </w:rPr>
          <w:tab/>
        </w:r>
        <w:r w:rsidR="00E146A7">
          <w:rPr>
            <w:noProof/>
            <w:webHidden/>
          </w:rPr>
          <w:fldChar w:fldCharType="begin"/>
        </w:r>
        <w:r w:rsidR="00E146A7">
          <w:rPr>
            <w:noProof/>
            <w:webHidden/>
          </w:rPr>
          <w:instrText xml:space="preserve"> PAGEREF _Toc414545891 \h </w:instrText>
        </w:r>
        <w:r w:rsidR="00E146A7">
          <w:rPr>
            <w:noProof/>
            <w:webHidden/>
          </w:rPr>
        </w:r>
        <w:r w:rsidR="00E146A7">
          <w:rPr>
            <w:noProof/>
            <w:webHidden/>
          </w:rPr>
          <w:fldChar w:fldCharType="separate"/>
        </w:r>
        <w:r w:rsidR="00EE00AA">
          <w:rPr>
            <w:noProof/>
            <w:webHidden/>
          </w:rPr>
          <w:t>33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2" w:history="1">
        <w:r w:rsidR="00E146A7" w:rsidRPr="00C71635">
          <w:rPr>
            <w:rStyle w:val="Hyperlink"/>
            <w:noProof/>
          </w:rPr>
          <w:t xml:space="preserve">Table 4–8: Average Event-Hour Load Impacts by Event – </w:t>
        </w:r>
        <w:r w:rsidR="00E146A7" w:rsidRPr="00C71635">
          <w:rPr>
            <w:rStyle w:val="Hyperlink"/>
            <w:i/>
            <w:noProof/>
          </w:rPr>
          <w:t>SCE CBP</w:t>
        </w:r>
        <w:r w:rsidR="00E146A7">
          <w:rPr>
            <w:noProof/>
            <w:webHidden/>
          </w:rPr>
          <w:tab/>
        </w:r>
        <w:r w:rsidR="00E146A7">
          <w:rPr>
            <w:noProof/>
            <w:webHidden/>
          </w:rPr>
          <w:fldChar w:fldCharType="begin"/>
        </w:r>
        <w:r w:rsidR="00E146A7">
          <w:rPr>
            <w:noProof/>
            <w:webHidden/>
          </w:rPr>
          <w:instrText xml:space="preserve"> PAGEREF _Toc414545892 \h </w:instrText>
        </w:r>
        <w:r w:rsidR="00E146A7">
          <w:rPr>
            <w:noProof/>
            <w:webHidden/>
          </w:rPr>
        </w:r>
        <w:r w:rsidR="00E146A7">
          <w:rPr>
            <w:noProof/>
            <w:webHidden/>
          </w:rPr>
          <w:fldChar w:fldCharType="separate"/>
        </w:r>
        <w:r w:rsidR="00EE00AA">
          <w:rPr>
            <w:noProof/>
            <w:webHidden/>
          </w:rPr>
          <w:t>35</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3" w:history="1">
        <w:r w:rsidR="00E146A7" w:rsidRPr="00C71635">
          <w:rPr>
            <w:rStyle w:val="Hyperlink"/>
            <w:noProof/>
          </w:rPr>
          <w:t>Table 4–9: Distribution of Average Event-Hour Load Impacts by Industry Type – SC</w:t>
        </w:r>
        <w:r w:rsidR="00E146A7" w:rsidRPr="00C71635">
          <w:rPr>
            <w:rStyle w:val="Hyperlink"/>
            <w:i/>
            <w:noProof/>
          </w:rPr>
          <w:t>E CBP</w:t>
        </w:r>
        <w:r w:rsidR="00E146A7">
          <w:rPr>
            <w:noProof/>
            <w:webHidden/>
          </w:rPr>
          <w:tab/>
        </w:r>
        <w:r w:rsidR="00E146A7">
          <w:rPr>
            <w:noProof/>
            <w:webHidden/>
          </w:rPr>
          <w:fldChar w:fldCharType="begin"/>
        </w:r>
        <w:r w:rsidR="00E146A7">
          <w:rPr>
            <w:noProof/>
            <w:webHidden/>
          </w:rPr>
          <w:instrText xml:space="preserve"> PAGEREF _Toc414545893 \h </w:instrText>
        </w:r>
        <w:r w:rsidR="00E146A7">
          <w:rPr>
            <w:noProof/>
            <w:webHidden/>
          </w:rPr>
        </w:r>
        <w:r w:rsidR="00E146A7">
          <w:rPr>
            <w:noProof/>
            <w:webHidden/>
          </w:rPr>
          <w:fldChar w:fldCharType="separate"/>
        </w:r>
        <w:r w:rsidR="00EE00AA">
          <w:rPr>
            <w:noProof/>
            <w:webHidden/>
          </w:rPr>
          <w:t>36</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4" w:history="1">
        <w:r w:rsidR="00E146A7" w:rsidRPr="00C71635">
          <w:rPr>
            <w:rStyle w:val="Hyperlink"/>
            <w:noProof/>
          </w:rPr>
          <w:t xml:space="preserve">Table 4–10: Distribution of Average Event-Hour Load Impacts by LCA – </w:t>
        </w:r>
        <w:r w:rsidR="00E146A7" w:rsidRPr="00C71635">
          <w:rPr>
            <w:rStyle w:val="Hyperlink"/>
            <w:i/>
            <w:noProof/>
          </w:rPr>
          <w:t>SCE CBP</w:t>
        </w:r>
        <w:r w:rsidR="00E146A7">
          <w:rPr>
            <w:noProof/>
            <w:webHidden/>
          </w:rPr>
          <w:tab/>
        </w:r>
        <w:r w:rsidR="00E146A7">
          <w:rPr>
            <w:noProof/>
            <w:webHidden/>
          </w:rPr>
          <w:fldChar w:fldCharType="begin"/>
        </w:r>
        <w:r w:rsidR="00E146A7">
          <w:rPr>
            <w:noProof/>
            <w:webHidden/>
          </w:rPr>
          <w:instrText xml:space="preserve"> PAGEREF _Toc414545894 \h </w:instrText>
        </w:r>
        <w:r w:rsidR="00E146A7">
          <w:rPr>
            <w:noProof/>
            <w:webHidden/>
          </w:rPr>
        </w:r>
        <w:r w:rsidR="00E146A7">
          <w:rPr>
            <w:noProof/>
            <w:webHidden/>
          </w:rPr>
          <w:fldChar w:fldCharType="separate"/>
        </w:r>
        <w:r w:rsidR="00EE00AA">
          <w:rPr>
            <w:noProof/>
            <w:webHidden/>
          </w:rPr>
          <w:t>36</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5" w:history="1">
        <w:r w:rsidR="00E146A7" w:rsidRPr="00C71635">
          <w:rPr>
            <w:rStyle w:val="Hyperlink"/>
            <w:noProof/>
          </w:rPr>
          <w:t xml:space="preserve">Table 4–11: Average Event-Hour Load Impacts in </w:t>
        </w:r>
        <w:r w:rsidR="00E146A7" w:rsidRPr="00C71635">
          <w:rPr>
            <w:rStyle w:val="Hyperlink"/>
            <w:i/>
            <w:noProof/>
          </w:rPr>
          <w:t>Southern Orange County</w:t>
        </w:r>
        <w:r w:rsidR="00E146A7" w:rsidRPr="00C71635">
          <w:rPr>
            <w:rStyle w:val="Hyperlink"/>
            <w:noProof/>
          </w:rPr>
          <w:t xml:space="preserve"> – </w:t>
        </w:r>
        <w:r w:rsidR="00E146A7" w:rsidRPr="00C71635">
          <w:rPr>
            <w:rStyle w:val="Hyperlink"/>
            <w:i/>
            <w:noProof/>
          </w:rPr>
          <w:t>SCE CBP</w:t>
        </w:r>
        <w:r w:rsidR="00E146A7">
          <w:rPr>
            <w:noProof/>
            <w:webHidden/>
          </w:rPr>
          <w:tab/>
        </w:r>
        <w:r w:rsidR="00E146A7">
          <w:rPr>
            <w:noProof/>
            <w:webHidden/>
          </w:rPr>
          <w:fldChar w:fldCharType="begin"/>
        </w:r>
        <w:r w:rsidR="00E146A7">
          <w:rPr>
            <w:noProof/>
            <w:webHidden/>
          </w:rPr>
          <w:instrText xml:space="preserve"> PAGEREF _Toc414545895 \h </w:instrText>
        </w:r>
        <w:r w:rsidR="00E146A7">
          <w:rPr>
            <w:noProof/>
            <w:webHidden/>
          </w:rPr>
        </w:r>
        <w:r w:rsidR="00E146A7">
          <w:rPr>
            <w:noProof/>
            <w:webHidden/>
          </w:rPr>
          <w:fldChar w:fldCharType="separate"/>
        </w:r>
        <w:r w:rsidR="00EE00AA">
          <w:rPr>
            <w:noProof/>
            <w:webHidden/>
          </w:rPr>
          <w:t>37</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6" w:history="1">
        <w:r w:rsidR="00E146A7" w:rsidRPr="00C71635">
          <w:rPr>
            <w:rStyle w:val="Hyperlink"/>
            <w:noProof/>
          </w:rPr>
          <w:t xml:space="preserve">Table 4–12: Average Event-Hour Load Impacts </w:t>
        </w:r>
        <w:r w:rsidR="00E146A7" w:rsidRPr="00C71635">
          <w:rPr>
            <w:rStyle w:val="Hyperlink"/>
            <w:i/>
            <w:noProof/>
          </w:rPr>
          <w:t>South of Lugo</w:t>
        </w:r>
        <w:r w:rsidR="00E146A7" w:rsidRPr="00C71635">
          <w:rPr>
            <w:rStyle w:val="Hyperlink"/>
            <w:noProof/>
          </w:rPr>
          <w:t xml:space="preserve"> – </w:t>
        </w:r>
        <w:r w:rsidR="00E146A7" w:rsidRPr="00C71635">
          <w:rPr>
            <w:rStyle w:val="Hyperlink"/>
            <w:i/>
            <w:noProof/>
          </w:rPr>
          <w:t>SCE CBP</w:t>
        </w:r>
        <w:r w:rsidR="00E146A7">
          <w:rPr>
            <w:noProof/>
            <w:webHidden/>
          </w:rPr>
          <w:tab/>
        </w:r>
        <w:r w:rsidR="00E146A7">
          <w:rPr>
            <w:noProof/>
            <w:webHidden/>
          </w:rPr>
          <w:fldChar w:fldCharType="begin"/>
        </w:r>
        <w:r w:rsidR="00E146A7">
          <w:rPr>
            <w:noProof/>
            <w:webHidden/>
          </w:rPr>
          <w:instrText xml:space="preserve"> PAGEREF _Toc414545896 \h </w:instrText>
        </w:r>
        <w:r w:rsidR="00E146A7">
          <w:rPr>
            <w:noProof/>
            <w:webHidden/>
          </w:rPr>
        </w:r>
        <w:r w:rsidR="00E146A7">
          <w:rPr>
            <w:noProof/>
            <w:webHidden/>
          </w:rPr>
          <w:fldChar w:fldCharType="separate"/>
        </w:r>
        <w:r w:rsidR="00EE00AA">
          <w:rPr>
            <w:noProof/>
            <w:webHidden/>
          </w:rPr>
          <w:t>38</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7" w:history="1">
        <w:r w:rsidR="00E146A7" w:rsidRPr="00C71635">
          <w:rPr>
            <w:rStyle w:val="Hyperlink"/>
            <w:noProof/>
          </w:rPr>
          <w:t xml:space="preserve">Table 4–13: Load Impacts of TA/TI Participants – </w:t>
        </w:r>
        <w:r w:rsidR="00E146A7" w:rsidRPr="00C71635">
          <w:rPr>
            <w:rStyle w:val="Hyperlink"/>
            <w:i/>
            <w:noProof/>
          </w:rPr>
          <w:t>SCE CBP DO</w:t>
        </w:r>
        <w:r w:rsidR="00E146A7">
          <w:rPr>
            <w:noProof/>
            <w:webHidden/>
          </w:rPr>
          <w:tab/>
        </w:r>
        <w:r w:rsidR="00E146A7">
          <w:rPr>
            <w:noProof/>
            <w:webHidden/>
          </w:rPr>
          <w:fldChar w:fldCharType="begin"/>
        </w:r>
        <w:r w:rsidR="00E146A7">
          <w:rPr>
            <w:noProof/>
            <w:webHidden/>
          </w:rPr>
          <w:instrText xml:space="preserve"> PAGEREF _Toc414545897 \h </w:instrText>
        </w:r>
        <w:r w:rsidR="00E146A7">
          <w:rPr>
            <w:noProof/>
            <w:webHidden/>
          </w:rPr>
        </w:r>
        <w:r w:rsidR="00E146A7">
          <w:rPr>
            <w:noProof/>
            <w:webHidden/>
          </w:rPr>
          <w:fldChar w:fldCharType="separate"/>
        </w:r>
        <w:r w:rsidR="00EE00AA">
          <w:rPr>
            <w:noProof/>
            <w:webHidden/>
          </w:rPr>
          <w:t>40</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8" w:history="1">
        <w:r w:rsidR="00E146A7" w:rsidRPr="00C71635">
          <w:rPr>
            <w:rStyle w:val="Hyperlink"/>
            <w:noProof/>
          </w:rPr>
          <w:t xml:space="preserve">Table 4–14: Load Impacts of AutoDR Participants – </w:t>
        </w:r>
        <w:r w:rsidR="00E146A7" w:rsidRPr="00C71635">
          <w:rPr>
            <w:rStyle w:val="Hyperlink"/>
            <w:i/>
            <w:noProof/>
          </w:rPr>
          <w:t>SCE CBP</w:t>
        </w:r>
        <w:r w:rsidR="00E146A7">
          <w:rPr>
            <w:noProof/>
            <w:webHidden/>
          </w:rPr>
          <w:tab/>
        </w:r>
        <w:r w:rsidR="00E146A7">
          <w:rPr>
            <w:noProof/>
            <w:webHidden/>
          </w:rPr>
          <w:fldChar w:fldCharType="begin"/>
        </w:r>
        <w:r w:rsidR="00E146A7">
          <w:rPr>
            <w:noProof/>
            <w:webHidden/>
          </w:rPr>
          <w:instrText xml:space="preserve"> PAGEREF _Toc414545898 \h </w:instrText>
        </w:r>
        <w:r w:rsidR="00E146A7">
          <w:rPr>
            <w:noProof/>
            <w:webHidden/>
          </w:rPr>
        </w:r>
        <w:r w:rsidR="00E146A7">
          <w:rPr>
            <w:noProof/>
            <w:webHidden/>
          </w:rPr>
          <w:fldChar w:fldCharType="separate"/>
        </w:r>
        <w:r w:rsidR="00EE00AA">
          <w:rPr>
            <w:noProof/>
            <w:webHidden/>
          </w:rPr>
          <w:t>41</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899" w:history="1">
        <w:r w:rsidR="00E146A7" w:rsidRPr="00C71635">
          <w:rPr>
            <w:rStyle w:val="Hyperlink"/>
            <w:noProof/>
          </w:rPr>
          <w:t xml:space="preserve">Table 4–15: Event Summary for 2014 – </w:t>
        </w:r>
        <w:r w:rsidR="00E146A7" w:rsidRPr="00C71635">
          <w:rPr>
            <w:rStyle w:val="Hyperlink"/>
            <w:i/>
            <w:noProof/>
          </w:rPr>
          <w:t>SDG&amp;E CBP</w:t>
        </w:r>
        <w:r w:rsidR="00E146A7">
          <w:rPr>
            <w:noProof/>
            <w:webHidden/>
          </w:rPr>
          <w:tab/>
        </w:r>
        <w:r w:rsidR="00E146A7">
          <w:rPr>
            <w:noProof/>
            <w:webHidden/>
          </w:rPr>
          <w:fldChar w:fldCharType="begin"/>
        </w:r>
        <w:r w:rsidR="00E146A7">
          <w:rPr>
            <w:noProof/>
            <w:webHidden/>
          </w:rPr>
          <w:instrText xml:space="preserve"> PAGEREF _Toc414545899 \h </w:instrText>
        </w:r>
        <w:r w:rsidR="00E146A7">
          <w:rPr>
            <w:noProof/>
            <w:webHidden/>
          </w:rPr>
        </w:r>
        <w:r w:rsidR="00E146A7">
          <w:rPr>
            <w:noProof/>
            <w:webHidden/>
          </w:rPr>
          <w:fldChar w:fldCharType="separate"/>
        </w:r>
        <w:r w:rsidR="00EE00AA">
          <w:rPr>
            <w:noProof/>
            <w:webHidden/>
          </w:rPr>
          <w:t>42</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0" w:history="1">
        <w:r w:rsidR="00E146A7" w:rsidRPr="00C71635">
          <w:rPr>
            <w:rStyle w:val="Hyperlink"/>
            <w:noProof/>
          </w:rPr>
          <w:t xml:space="preserve">Table 4–16: Average Event-Hour Load Impacts by Event – </w:t>
        </w:r>
        <w:r w:rsidR="00E146A7" w:rsidRPr="00C71635">
          <w:rPr>
            <w:rStyle w:val="Hyperlink"/>
            <w:i/>
            <w:noProof/>
          </w:rPr>
          <w:t>SDG&amp;E CBP</w:t>
        </w:r>
        <w:r w:rsidR="00E146A7">
          <w:rPr>
            <w:noProof/>
            <w:webHidden/>
          </w:rPr>
          <w:tab/>
        </w:r>
        <w:r w:rsidR="00E146A7">
          <w:rPr>
            <w:noProof/>
            <w:webHidden/>
          </w:rPr>
          <w:fldChar w:fldCharType="begin"/>
        </w:r>
        <w:r w:rsidR="00E146A7">
          <w:rPr>
            <w:noProof/>
            <w:webHidden/>
          </w:rPr>
          <w:instrText xml:space="preserve"> PAGEREF _Toc414545900 \h </w:instrText>
        </w:r>
        <w:r w:rsidR="00E146A7">
          <w:rPr>
            <w:noProof/>
            <w:webHidden/>
          </w:rPr>
        </w:r>
        <w:r w:rsidR="00E146A7">
          <w:rPr>
            <w:noProof/>
            <w:webHidden/>
          </w:rPr>
          <w:fldChar w:fldCharType="separate"/>
        </w:r>
        <w:r w:rsidR="00EE00AA">
          <w:rPr>
            <w:noProof/>
            <w:webHidden/>
          </w:rPr>
          <w:t>43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1" w:history="1">
        <w:r w:rsidR="00E146A7" w:rsidRPr="00C71635">
          <w:rPr>
            <w:rStyle w:val="Hyperlink"/>
            <w:noProof/>
          </w:rPr>
          <w:t xml:space="preserve">Table 4–17: Distribution of Average Event-Hour Load Impacts by Industry Type – </w:t>
        </w:r>
        <w:r w:rsidR="00E146A7" w:rsidRPr="00C71635">
          <w:rPr>
            <w:rStyle w:val="Hyperlink"/>
            <w:i/>
            <w:noProof/>
          </w:rPr>
          <w:t>SDG&amp;E CBP</w:t>
        </w:r>
        <w:r w:rsidR="00E146A7">
          <w:rPr>
            <w:noProof/>
            <w:webHidden/>
          </w:rPr>
          <w:tab/>
        </w:r>
        <w:r w:rsidR="00E146A7">
          <w:rPr>
            <w:noProof/>
            <w:webHidden/>
          </w:rPr>
          <w:fldChar w:fldCharType="begin"/>
        </w:r>
        <w:r w:rsidR="00E146A7">
          <w:rPr>
            <w:noProof/>
            <w:webHidden/>
          </w:rPr>
          <w:instrText xml:space="preserve"> PAGEREF _Toc414545901 \h </w:instrText>
        </w:r>
        <w:r w:rsidR="00E146A7">
          <w:rPr>
            <w:noProof/>
            <w:webHidden/>
          </w:rPr>
        </w:r>
        <w:r w:rsidR="00E146A7">
          <w:rPr>
            <w:noProof/>
            <w:webHidden/>
          </w:rPr>
          <w:fldChar w:fldCharType="separate"/>
        </w:r>
        <w:r w:rsidR="00EE00AA">
          <w:rPr>
            <w:noProof/>
            <w:webHidden/>
          </w:rPr>
          <w:t>44</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2" w:history="1">
        <w:r w:rsidR="00E146A7" w:rsidRPr="00C71635">
          <w:rPr>
            <w:rStyle w:val="Hyperlink"/>
            <w:noProof/>
          </w:rPr>
          <w:t xml:space="preserve">Table 4–18: Load Impacts of TA/TI Participants – </w:t>
        </w:r>
        <w:r w:rsidR="00E146A7" w:rsidRPr="00C71635">
          <w:rPr>
            <w:rStyle w:val="Hyperlink"/>
            <w:i/>
            <w:noProof/>
          </w:rPr>
          <w:t>SDG&amp;E CBP</w:t>
        </w:r>
        <w:r w:rsidR="00E146A7">
          <w:rPr>
            <w:noProof/>
            <w:webHidden/>
          </w:rPr>
          <w:tab/>
        </w:r>
        <w:r w:rsidR="00E146A7">
          <w:rPr>
            <w:noProof/>
            <w:webHidden/>
          </w:rPr>
          <w:fldChar w:fldCharType="begin"/>
        </w:r>
        <w:r w:rsidR="00E146A7">
          <w:rPr>
            <w:noProof/>
            <w:webHidden/>
          </w:rPr>
          <w:instrText xml:space="preserve"> PAGEREF _Toc414545902 \h </w:instrText>
        </w:r>
        <w:r w:rsidR="00E146A7">
          <w:rPr>
            <w:noProof/>
            <w:webHidden/>
          </w:rPr>
        </w:r>
        <w:r w:rsidR="00E146A7">
          <w:rPr>
            <w:noProof/>
            <w:webHidden/>
          </w:rPr>
          <w:fldChar w:fldCharType="separate"/>
        </w:r>
        <w:r w:rsidR="00EE00AA">
          <w:rPr>
            <w:noProof/>
            <w:webHidden/>
          </w:rPr>
          <w:t>46</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3" w:history="1">
        <w:r w:rsidR="00E146A7" w:rsidRPr="00C71635">
          <w:rPr>
            <w:rStyle w:val="Hyperlink"/>
            <w:noProof/>
          </w:rPr>
          <w:t xml:space="preserve">Table 4–19: Load Impacts of AutoDR Participants – </w:t>
        </w:r>
        <w:r w:rsidR="00E146A7" w:rsidRPr="00C71635">
          <w:rPr>
            <w:rStyle w:val="Hyperlink"/>
            <w:i/>
            <w:noProof/>
          </w:rPr>
          <w:t>SDG&amp;E CBP DA and DO</w:t>
        </w:r>
        <w:r w:rsidR="00E146A7">
          <w:rPr>
            <w:noProof/>
            <w:webHidden/>
          </w:rPr>
          <w:tab/>
        </w:r>
        <w:r w:rsidR="00E146A7">
          <w:rPr>
            <w:noProof/>
            <w:webHidden/>
          </w:rPr>
          <w:fldChar w:fldCharType="begin"/>
        </w:r>
        <w:r w:rsidR="00E146A7">
          <w:rPr>
            <w:noProof/>
            <w:webHidden/>
          </w:rPr>
          <w:instrText xml:space="preserve"> PAGEREF _Toc414545903 \h </w:instrText>
        </w:r>
        <w:r w:rsidR="00E146A7">
          <w:rPr>
            <w:noProof/>
            <w:webHidden/>
          </w:rPr>
        </w:r>
        <w:r w:rsidR="00E146A7">
          <w:rPr>
            <w:noProof/>
            <w:webHidden/>
          </w:rPr>
          <w:fldChar w:fldCharType="separate"/>
        </w:r>
        <w:r w:rsidR="00EE00AA">
          <w:rPr>
            <w:noProof/>
            <w:webHidden/>
          </w:rPr>
          <w:t>47</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4" w:history="1">
        <w:r w:rsidR="00E146A7" w:rsidRPr="00C71635">
          <w:rPr>
            <w:rStyle w:val="Hyperlink"/>
            <w:noProof/>
          </w:rPr>
          <w:t xml:space="preserve">Table 5–1: Event Summary for 2014 – </w:t>
        </w:r>
        <w:r w:rsidR="00E146A7" w:rsidRPr="00C71635">
          <w:rPr>
            <w:rStyle w:val="Hyperlink"/>
            <w:i/>
            <w:noProof/>
          </w:rPr>
          <w:t>PG&amp;E AMP</w:t>
        </w:r>
        <w:r w:rsidR="00E146A7">
          <w:rPr>
            <w:noProof/>
            <w:webHidden/>
          </w:rPr>
          <w:tab/>
        </w:r>
        <w:r w:rsidR="00E146A7">
          <w:rPr>
            <w:noProof/>
            <w:webHidden/>
          </w:rPr>
          <w:fldChar w:fldCharType="begin"/>
        </w:r>
        <w:r w:rsidR="00E146A7">
          <w:rPr>
            <w:noProof/>
            <w:webHidden/>
          </w:rPr>
          <w:instrText xml:space="preserve"> PAGEREF _Toc414545904 \h </w:instrText>
        </w:r>
        <w:r w:rsidR="00E146A7">
          <w:rPr>
            <w:noProof/>
            <w:webHidden/>
          </w:rPr>
        </w:r>
        <w:r w:rsidR="00E146A7">
          <w:rPr>
            <w:noProof/>
            <w:webHidden/>
          </w:rPr>
          <w:fldChar w:fldCharType="separate"/>
        </w:r>
        <w:r w:rsidR="00EE00AA">
          <w:rPr>
            <w:noProof/>
            <w:webHidden/>
          </w:rPr>
          <w:t>49</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5" w:history="1">
        <w:r w:rsidR="00E146A7" w:rsidRPr="00C71635">
          <w:rPr>
            <w:rStyle w:val="Hyperlink"/>
            <w:noProof/>
          </w:rPr>
          <w:t xml:space="preserve">Table 5–2: Average Event-Hour Load Impacts by Event – </w:t>
        </w:r>
        <w:r w:rsidR="00E146A7" w:rsidRPr="00C71635">
          <w:rPr>
            <w:rStyle w:val="Hyperlink"/>
            <w:i/>
            <w:noProof/>
          </w:rPr>
          <w:t>PG&amp;E AMP</w:t>
        </w:r>
        <w:r w:rsidR="00E146A7">
          <w:rPr>
            <w:noProof/>
            <w:webHidden/>
          </w:rPr>
          <w:tab/>
        </w:r>
        <w:r w:rsidR="00E146A7">
          <w:rPr>
            <w:noProof/>
            <w:webHidden/>
          </w:rPr>
          <w:fldChar w:fldCharType="begin"/>
        </w:r>
        <w:r w:rsidR="00E146A7">
          <w:rPr>
            <w:noProof/>
            <w:webHidden/>
          </w:rPr>
          <w:instrText xml:space="preserve"> PAGEREF _Toc414545905 \h </w:instrText>
        </w:r>
        <w:r w:rsidR="00E146A7">
          <w:rPr>
            <w:noProof/>
            <w:webHidden/>
          </w:rPr>
        </w:r>
        <w:r w:rsidR="00E146A7">
          <w:rPr>
            <w:noProof/>
            <w:webHidden/>
          </w:rPr>
          <w:fldChar w:fldCharType="separate"/>
        </w:r>
        <w:r w:rsidR="00EE00AA">
          <w:rPr>
            <w:noProof/>
            <w:webHidden/>
          </w:rPr>
          <w:t>51</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6" w:history="1">
        <w:r w:rsidR="00E146A7" w:rsidRPr="00C71635">
          <w:rPr>
            <w:rStyle w:val="Hyperlink"/>
            <w:noProof/>
          </w:rPr>
          <w:t xml:space="preserve">Table 5–3: Distribution of Average Event-Hour Load Impacts by Industry Type – </w:t>
        </w:r>
        <w:r w:rsidR="00E146A7" w:rsidRPr="00C71635">
          <w:rPr>
            <w:rStyle w:val="Hyperlink"/>
            <w:i/>
            <w:noProof/>
          </w:rPr>
          <w:t>PG&amp;E AMP</w:t>
        </w:r>
        <w:r w:rsidR="00E146A7">
          <w:rPr>
            <w:noProof/>
            <w:webHidden/>
          </w:rPr>
          <w:tab/>
        </w:r>
        <w:r w:rsidR="00E146A7">
          <w:rPr>
            <w:noProof/>
            <w:webHidden/>
          </w:rPr>
          <w:fldChar w:fldCharType="begin"/>
        </w:r>
        <w:r w:rsidR="00E146A7">
          <w:rPr>
            <w:noProof/>
            <w:webHidden/>
          </w:rPr>
          <w:instrText xml:space="preserve"> PAGEREF _Toc414545906 \h </w:instrText>
        </w:r>
        <w:r w:rsidR="00E146A7">
          <w:rPr>
            <w:noProof/>
            <w:webHidden/>
          </w:rPr>
        </w:r>
        <w:r w:rsidR="00E146A7">
          <w:rPr>
            <w:noProof/>
            <w:webHidden/>
          </w:rPr>
          <w:fldChar w:fldCharType="separate"/>
        </w:r>
        <w:r w:rsidR="00EE00AA">
          <w:rPr>
            <w:noProof/>
            <w:webHidden/>
          </w:rPr>
          <w:t>52</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7" w:history="1">
        <w:r w:rsidR="00E146A7" w:rsidRPr="00C71635">
          <w:rPr>
            <w:rStyle w:val="Hyperlink"/>
            <w:noProof/>
          </w:rPr>
          <w:t xml:space="preserve">Table 5–4: Distribution of Average Event-Hour Load Impacts by LCA – </w:t>
        </w:r>
        <w:r w:rsidR="00E146A7" w:rsidRPr="00C71635">
          <w:rPr>
            <w:rStyle w:val="Hyperlink"/>
            <w:i/>
            <w:noProof/>
          </w:rPr>
          <w:t>PG&amp;E AMP</w:t>
        </w:r>
        <w:r w:rsidR="00E146A7">
          <w:rPr>
            <w:noProof/>
            <w:webHidden/>
          </w:rPr>
          <w:tab/>
        </w:r>
        <w:r w:rsidR="00E146A7">
          <w:rPr>
            <w:noProof/>
            <w:webHidden/>
          </w:rPr>
          <w:fldChar w:fldCharType="begin"/>
        </w:r>
        <w:r w:rsidR="00E146A7">
          <w:rPr>
            <w:noProof/>
            <w:webHidden/>
          </w:rPr>
          <w:instrText xml:space="preserve"> PAGEREF _Toc414545907 \h </w:instrText>
        </w:r>
        <w:r w:rsidR="00E146A7">
          <w:rPr>
            <w:noProof/>
            <w:webHidden/>
          </w:rPr>
        </w:r>
        <w:r w:rsidR="00E146A7">
          <w:rPr>
            <w:noProof/>
            <w:webHidden/>
          </w:rPr>
          <w:fldChar w:fldCharType="separate"/>
        </w:r>
        <w:r w:rsidR="00EE00AA">
          <w:rPr>
            <w:noProof/>
            <w:webHidden/>
          </w:rPr>
          <w:t>53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8" w:history="1">
        <w:r w:rsidR="00E146A7" w:rsidRPr="00C71635">
          <w:rPr>
            <w:rStyle w:val="Hyperlink"/>
            <w:noProof/>
          </w:rPr>
          <w:t xml:space="preserve">Table 5–5: Load Impacts of TA/TI Participants – </w:t>
        </w:r>
        <w:r w:rsidR="00E146A7" w:rsidRPr="00C71635">
          <w:rPr>
            <w:rStyle w:val="Hyperlink"/>
            <w:i/>
            <w:noProof/>
          </w:rPr>
          <w:t>PG&amp;E AMP</w:t>
        </w:r>
        <w:r w:rsidR="00E146A7">
          <w:rPr>
            <w:noProof/>
            <w:webHidden/>
          </w:rPr>
          <w:tab/>
        </w:r>
        <w:r w:rsidR="00E146A7">
          <w:rPr>
            <w:noProof/>
            <w:webHidden/>
          </w:rPr>
          <w:fldChar w:fldCharType="begin"/>
        </w:r>
        <w:r w:rsidR="00E146A7">
          <w:rPr>
            <w:noProof/>
            <w:webHidden/>
          </w:rPr>
          <w:instrText xml:space="preserve"> PAGEREF _Toc414545908 \h </w:instrText>
        </w:r>
        <w:r w:rsidR="00E146A7">
          <w:rPr>
            <w:noProof/>
            <w:webHidden/>
          </w:rPr>
        </w:r>
        <w:r w:rsidR="00E146A7">
          <w:rPr>
            <w:noProof/>
            <w:webHidden/>
          </w:rPr>
          <w:fldChar w:fldCharType="separate"/>
        </w:r>
        <w:r w:rsidR="00EE00AA">
          <w:rPr>
            <w:noProof/>
            <w:webHidden/>
          </w:rPr>
          <w:t>55</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09" w:history="1">
        <w:r w:rsidR="00E146A7" w:rsidRPr="00C71635">
          <w:rPr>
            <w:rStyle w:val="Hyperlink"/>
            <w:noProof/>
          </w:rPr>
          <w:t xml:space="preserve">Table 5–6: Load Impacts of AutoDR Participants – </w:t>
        </w:r>
        <w:r w:rsidR="00E146A7" w:rsidRPr="00C71635">
          <w:rPr>
            <w:rStyle w:val="Hyperlink"/>
            <w:i/>
            <w:noProof/>
          </w:rPr>
          <w:t>PG&amp;E AMP</w:t>
        </w:r>
        <w:r w:rsidR="00E146A7">
          <w:rPr>
            <w:noProof/>
            <w:webHidden/>
          </w:rPr>
          <w:tab/>
        </w:r>
        <w:r w:rsidR="00E146A7">
          <w:rPr>
            <w:noProof/>
            <w:webHidden/>
          </w:rPr>
          <w:fldChar w:fldCharType="begin"/>
        </w:r>
        <w:r w:rsidR="00E146A7">
          <w:rPr>
            <w:noProof/>
            <w:webHidden/>
          </w:rPr>
          <w:instrText xml:space="preserve"> PAGEREF _Toc414545909 \h </w:instrText>
        </w:r>
        <w:r w:rsidR="00E146A7">
          <w:rPr>
            <w:noProof/>
            <w:webHidden/>
          </w:rPr>
        </w:r>
        <w:r w:rsidR="00E146A7">
          <w:rPr>
            <w:noProof/>
            <w:webHidden/>
          </w:rPr>
          <w:fldChar w:fldCharType="separate"/>
        </w:r>
        <w:r w:rsidR="00EE00AA">
          <w:rPr>
            <w:noProof/>
            <w:webHidden/>
          </w:rPr>
          <w:t>56</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0" w:history="1">
        <w:r w:rsidR="00E146A7" w:rsidRPr="00C71635">
          <w:rPr>
            <w:rStyle w:val="Hyperlink"/>
            <w:noProof/>
          </w:rPr>
          <w:t xml:space="preserve">Table 5–7: Event Summary for 2014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_Toc414545910 \h </w:instrText>
        </w:r>
        <w:r w:rsidR="00E146A7">
          <w:rPr>
            <w:noProof/>
            <w:webHidden/>
          </w:rPr>
        </w:r>
        <w:r w:rsidR="00E146A7">
          <w:rPr>
            <w:noProof/>
            <w:webHidden/>
          </w:rPr>
          <w:fldChar w:fldCharType="separate"/>
        </w:r>
        <w:r w:rsidR="00EE00AA">
          <w:rPr>
            <w:noProof/>
            <w:webHidden/>
          </w:rPr>
          <w:t>57</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1" w:history="1">
        <w:r w:rsidR="00E146A7" w:rsidRPr="00C71635">
          <w:rPr>
            <w:rStyle w:val="Hyperlink"/>
            <w:noProof/>
          </w:rPr>
          <w:t xml:space="preserve">Table 5–8: Average Event-Hour Load Impacts by Event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_Toc414545911 \h </w:instrText>
        </w:r>
        <w:r w:rsidR="00E146A7">
          <w:rPr>
            <w:noProof/>
            <w:webHidden/>
          </w:rPr>
        </w:r>
        <w:r w:rsidR="00E146A7">
          <w:rPr>
            <w:noProof/>
            <w:webHidden/>
          </w:rPr>
          <w:fldChar w:fldCharType="separate"/>
        </w:r>
        <w:r w:rsidR="00EE00AA">
          <w:rPr>
            <w:noProof/>
            <w:webHidden/>
          </w:rPr>
          <w:t>58</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2" w:history="1">
        <w:r w:rsidR="00E146A7" w:rsidRPr="00C71635">
          <w:rPr>
            <w:rStyle w:val="Hyperlink"/>
            <w:noProof/>
          </w:rPr>
          <w:t xml:space="preserve">Table 5–9: Distribution of Average Event-Hour Load Impacts by Industry Type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_Toc414545912 \h </w:instrText>
        </w:r>
        <w:r w:rsidR="00E146A7">
          <w:rPr>
            <w:noProof/>
            <w:webHidden/>
          </w:rPr>
        </w:r>
        <w:r w:rsidR="00E146A7">
          <w:rPr>
            <w:noProof/>
            <w:webHidden/>
          </w:rPr>
          <w:fldChar w:fldCharType="separate"/>
        </w:r>
        <w:r w:rsidR="00EE00AA">
          <w:rPr>
            <w:noProof/>
            <w:webHidden/>
          </w:rPr>
          <w:t>58</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3" w:history="1">
        <w:r w:rsidR="00E146A7" w:rsidRPr="00C71635">
          <w:rPr>
            <w:rStyle w:val="Hyperlink"/>
            <w:noProof/>
          </w:rPr>
          <w:t xml:space="preserve">Table 5–10: Distribution of Average Event-Hour Load Impacts by LCA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_Toc414545913 \h </w:instrText>
        </w:r>
        <w:r w:rsidR="00E146A7">
          <w:rPr>
            <w:noProof/>
            <w:webHidden/>
          </w:rPr>
        </w:r>
        <w:r w:rsidR="00E146A7">
          <w:rPr>
            <w:noProof/>
            <w:webHidden/>
          </w:rPr>
          <w:fldChar w:fldCharType="separate"/>
        </w:r>
        <w:r w:rsidR="00EE00AA">
          <w:rPr>
            <w:noProof/>
            <w:webHidden/>
          </w:rPr>
          <w:t>59</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4" w:history="1">
        <w:r w:rsidR="00E146A7" w:rsidRPr="00C71635">
          <w:rPr>
            <w:rStyle w:val="Hyperlink"/>
            <w:noProof/>
          </w:rPr>
          <w:t xml:space="preserve">Table 5–11: Average Event-Hour Load Impacts for </w:t>
        </w:r>
        <w:r w:rsidR="00E146A7" w:rsidRPr="00C71635">
          <w:rPr>
            <w:rStyle w:val="Hyperlink"/>
            <w:i/>
            <w:noProof/>
          </w:rPr>
          <w:t>Southern Orange County</w:t>
        </w:r>
        <w:r w:rsidR="00E146A7" w:rsidRPr="00C71635">
          <w:rPr>
            <w:rStyle w:val="Hyperlink"/>
            <w:noProof/>
          </w:rPr>
          <w:t xml:space="preserve">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_Toc414545914 \h </w:instrText>
        </w:r>
        <w:r w:rsidR="00E146A7">
          <w:rPr>
            <w:noProof/>
            <w:webHidden/>
          </w:rPr>
        </w:r>
        <w:r w:rsidR="00E146A7">
          <w:rPr>
            <w:noProof/>
            <w:webHidden/>
          </w:rPr>
          <w:fldChar w:fldCharType="separate"/>
        </w:r>
        <w:r w:rsidR="00EE00AA">
          <w:rPr>
            <w:noProof/>
            <w:webHidden/>
          </w:rPr>
          <w:t>59</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5" w:history="1">
        <w:r w:rsidR="00E146A7" w:rsidRPr="00C71635">
          <w:rPr>
            <w:rStyle w:val="Hyperlink"/>
            <w:noProof/>
          </w:rPr>
          <w:t xml:space="preserve">Table 5–12: Average Event-Hour Load Impacts for </w:t>
        </w:r>
        <w:r w:rsidR="00E146A7" w:rsidRPr="00C71635">
          <w:rPr>
            <w:rStyle w:val="Hyperlink"/>
            <w:i/>
            <w:noProof/>
          </w:rPr>
          <w:t>South of Lugo</w:t>
        </w:r>
        <w:r w:rsidR="00E146A7" w:rsidRPr="00C71635">
          <w:rPr>
            <w:rStyle w:val="Hyperlink"/>
            <w:noProof/>
          </w:rPr>
          <w:t xml:space="preserve">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_Toc414545915 \h </w:instrText>
        </w:r>
        <w:r w:rsidR="00E146A7">
          <w:rPr>
            <w:noProof/>
            <w:webHidden/>
          </w:rPr>
        </w:r>
        <w:r w:rsidR="00E146A7">
          <w:rPr>
            <w:noProof/>
            <w:webHidden/>
          </w:rPr>
          <w:fldChar w:fldCharType="separate"/>
        </w:r>
        <w:r w:rsidR="00EE00AA">
          <w:rPr>
            <w:noProof/>
            <w:webHidden/>
          </w:rPr>
          <w:t>60</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6" w:history="1">
        <w:r w:rsidR="00E146A7" w:rsidRPr="00C71635">
          <w:rPr>
            <w:rStyle w:val="Hyperlink"/>
            <w:noProof/>
          </w:rPr>
          <w:t xml:space="preserve">Table 5–13: Load Impacts of TA/TI Participants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_Toc414545916 \h </w:instrText>
        </w:r>
        <w:r w:rsidR="00E146A7">
          <w:rPr>
            <w:noProof/>
            <w:webHidden/>
          </w:rPr>
        </w:r>
        <w:r w:rsidR="00E146A7">
          <w:rPr>
            <w:noProof/>
            <w:webHidden/>
          </w:rPr>
          <w:fldChar w:fldCharType="separate"/>
        </w:r>
        <w:r w:rsidR="00EE00AA">
          <w:rPr>
            <w:noProof/>
            <w:webHidden/>
          </w:rPr>
          <w:t>62</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7" w:history="1">
        <w:r w:rsidR="00E146A7" w:rsidRPr="00C71635">
          <w:rPr>
            <w:rStyle w:val="Hyperlink"/>
            <w:noProof/>
          </w:rPr>
          <w:t xml:space="preserve">Table 5–14: Load Impacts of AutoDR Participants – </w:t>
        </w:r>
        <w:r w:rsidR="00E146A7" w:rsidRPr="00C71635">
          <w:rPr>
            <w:rStyle w:val="Hyperlink"/>
            <w:i/>
            <w:noProof/>
          </w:rPr>
          <w:t>SCE AMP</w:t>
        </w:r>
        <w:r w:rsidR="00E146A7">
          <w:rPr>
            <w:noProof/>
            <w:webHidden/>
          </w:rPr>
          <w:tab/>
        </w:r>
        <w:r w:rsidR="00E146A7">
          <w:rPr>
            <w:noProof/>
            <w:webHidden/>
          </w:rPr>
          <w:fldChar w:fldCharType="begin"/>
        </w:r>
        <w:r w:rsidR="00E146A7">
          <w:rPr>
            <w:noProof/>
            <w:webHidden/>
          </w:rPr>
          <w:instrText xml:space="preserve"> PAGEREF _Toc414545917 \h </w:instrText>
        </w:r>
        <w:r w:rsidR="00E146A7">
          <w:rPr>
            <w:noProof/>
            <w:webHidden/>
          </w:rPr>
        </w:r>
        <w:r w:rsidR="00E146A7">
          <w:rPr>
            <w:noProof/>
            <w:webHidden/>
          </w:rPr>
          <w:fldChar w:fldCharType="separate"/>
        </w:r>
        <w:r w:rsidR="00EE00AA">
          <w:rPr>
            <w:noProof/>
            <w:webHidden/>
          </w:rPr>
          <w:t>63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8" w:history="1">
        <w:r w:rsidR="00E146A7" w:rsidRPr="00C71635">
          <w:rPr>
            <w:rStyle w:val="Hyperlink"/>
            <w:noProof/>
          </w:rPr>
          <w:t xml:space="preserve">Table 6–1: Average Event-Hour Load Impacts (MW) for an August Peak Day in 1-in-2 and 1-in-10 Weather Conditions – </w:t>
        </w:r>
        <w:r w:rsidR="00E146A7" w:rsidRPr="00C71635">
          <w:rPr>
            <w:rStyle w:val="Hyperlink"/>
            <w:i/>
            <w:noProof/>
          </w:rPr>
          <w:t>PG&amp;E CBP DA and DO</w:t>
        </w:r>
        <w:r w:rsidR="00E146A7">
          <w:rPr>
            <w:noProof/>
            <w:webHidden/>
          </w:rPr>
          <w:tab/>
        </w:r>
        <w:r w:rsidR="00E146A7">
          <w:rPr>
            <w:noProof/>
            <w:webHidden/>
          </w:rPr>
          <w:fldChar w:fldCharType="begin"/>
        </w:r>
        <w:r w:rsidR="00E146A7">
          <w:rPr>
            <w:noProof/>
            <w:webHidden/>
          </w:rPr>
          <w:instrText xml:space="preserve"> PAGEREF _Toc414545918 \h </w:instrText>
        </w:r>
        <w:r w:rsidR="00E146A7">
          <w:rPr>
            <w:noProof/>
            <w:webHidden/>
          </w:rPr>
        </w:r>
        <w:r w:rsidR="00E146A7">
          <w:rPr>
            <w:noProof/>
            <w:webHidden/>
          </w:rPr>
          <w:fldChar w:fldCharType="separate"/>
        </w:r>
        <w:r w:rsidR="00EE00AA">
          <w:rPr>
            <w:noProof/>
            <w:webHidden/>
          </w:rPr>
          <w:t>68</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19" w:history="1">
        <w:r w:rsidR="00E146A7" w:rsidRPr="00C71635">
          <w:rPr>
            <w:rStyle w:val="Hyperlink"/>
            <w:noProof/>
          </w:rPr>
          <w:t xml:space="preserve">Table 6–2: Average Event-Hour Load Impacts (MW) for an August Peak Day in 1-in-2 and 1-in-10 Weather Conditions – </w:t>
        </w:r>
        <w:r w:rsidR="00E146A7" w:rsidRPr="00C71635">
          <w:rPr>
            <w:rStyle w:val="Hyperlink"/>
            <w:i/>
            <w:noProof/>
          </w:rPr>
          <w:t>PG&amp;E AMP DO</w:t>
        </w:r>
        <w:r w:rsidR="00E146A7">
          <w:rPr>
            <w:noProof/>
            <w:webHidden/>
          </w:rPr>
          <w:tab/>
        </w:r>
        <w:r w:rsidR="00E146A7">
          <w:rPr>
            <w:noProof/>
            <w:webHidden/>
          </w:rPr>
          <w:fldChar w:fldCharType="begin"/>
        </w:r>
        <w:r w:rsidR="00E146A7">
          <w:rPr>
            <w:noProof/>
            <w:webHidden/>
          </w:rPr>
          <w:instrText xml:space="preserve"> PAGEREF _Toc414545919 \h </w:instrText>
        </w:r>
        <w:r w:rsidR="00E146A7">
          <w:rPr>
            <w:noProof/>
            <w:webHidden/>
          </w:rPr>
        </w:r>
        <w:r w:rsidR="00E146A7">
          <w:rPr>
            <w:noProof/>
            <w:webHidden/>
          </w:rPr>
          <w:fldChar w:fldCharType="separate"/>
        </w:r>
        <w:r w:rsidR="00EE00AA">
          <w:rPr>
            <w:noProof/>
            <w:webHidden/>
          </w:rPr>
          <w:t>71</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0" w:history="1">
        <w:r w:rsidR="00E146A7" w:rsidRPr="00C71635">
          <w:rPr>
            <w:rStyle w:val="Hyperlink"/>
            <w:noProof/>
          </w:rPr>
          <w:t xml:space="preserve">Table 6–3: Average Event-Hour Load Impacts (MW) for August and February Peak Days, in 1-in-2 and 1-in-10 Weather Conditions – </w:t>
        </w:r>
        <w:r w:rsidR="00E146A7" w:rsidRPr="00C71635">
          <w:rPr>
            <w:rStyle w:val="Hyperlink"/>
            <w:i/>
            <w:noProof/>
          </w:rPr>
          <w:t>SCE CBP DA and DO</w:t>
        </w:r>
        <w:r w:rsidR="00E146A7">
          <w:rPr>
            <w:noProof/>
            <w:webHidden/>
          </w:rPr>
          <w:tab/>
        </w:r>
        <w:r w:rsidR="00E146A7">
          <w:rPr>
            <w:noProof/>
            <w:webHidden/>
          </w:rPr>
          <w:fldChar w:fldCharType="begin"/>
        </w:r>
        <w:r w:rsidR="00E146A7">
          <w:rPr>
            <w:noProof/>
            <w:webHidden/>
          </w:rPr>
          <w:instrText xml:space="preserve"> PAGEREF _Toc414545920 \h </w:instrText>
        </w:r>
        <w:r w:rsidR="00E146A7">
          <w:rPr>
            <w:noProof/>
            <w:webHidden/>
          </w:rPr>
        </w:r>
        <w:r w:rsidR="00E146A7">
          <w:rPr>
            <w:noProof/>
            <w:webHidden/>
          </w:rPr>
          <w:fldChar w:fldCharType="separate"/>
        </w:r>
        <w:r w:rsidR="00EE00AA">
          <w:rPr>
            <w:noProof/>
            <w:webHidden/>
          </w:rPr>
          <w:t>73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1" w:history="1">
        <w:r w:rsidR="00E146A7" w:rsidRPr="00C71635">
          <w:rPr>
            <w:rStyle w:val="Hyperlink"/>
            <w:noProof/>
          </w:rPr>
          <w:t xml:space="preserve">Table 6–4: Average Event-Hour Load Impacts (MW) for an August Peak Day in 1-in-2 and 1-in-10 Weather Conditions – </w:t>
        </w:r>
        <w:r w:rsidR="00E146A7" w:rsidRPr="00C71635">
          <w:rPr>
            <w:rStyle w:val="Hyperlink"/>
            <w:i/>
            <w:noProof/>
          </w:rPr>
          <w:t>SCE AMP DO</w:t>
        </w:r>
        <w:r w:rsidR="00E146A7">
          <w:rPr>
            <w:noProof/>
            <w:webHidden/>
          </w:rPr>
          <w:tab/>
        </w:r>
        <w:r w:rsidR="00E146A7">
          <w:rPr>
            <w:noProof/>
            <w:webHidden/>
          </w:rPr>
          <w:fldChar w:fldCharType="begin"/>
        </w:r>
        <w:r w:rsidR="00E146A7">
          <w:rPr>
            <w:noProof/>
            <w:webHidden/>
          </w:rPr>
          <w:instrText xml:space="preserve"> PAGEREF _Toc414545921 \h </w:instrText>
        </w:r>
        <w:r w:rsidR="00E146A7">
          <w:rPr>
            <w:noProof/>
            <w:webHidden/>
          </w:rPr>
        </w:r>
        <w:r w:rsidR="00E146A7">
          <w:rPr>
            <w:noProof/>
            <w:webHidden/>
          </w:rPr>
          <w:fldChar w:fldCharType="separate"/>
        </w:r>
        <w:r w:rsidR="00EE00AA">
          <w:rPr>
            <w:noProof/>
            <w:webHidden/>
          </w:rPr>
          <w:t>74</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2" w:history="1">
        <w:r w:rsidR="00E146A7" w:rsidRPr="00C71635">
          <w:rPr>
            <w:rStyle w:val="Hyperlink"/>
            <w:noProof/>
          </w:rPr>
          <w:t xml:space="preserve">Table 6–6:  Average Event-Hour Load Impacts for an August Peak Day in 1-in-2 and 1-in-10 Weather Years (2015 – 2025) – </w:t>
        </w:r>
        <w:r w:rsidR="00E146A7" w:rsidRPr="00C71635">
          <w:rPr>
            <w:rStyle w:val="Hyperlink"/>
            <w:i/>
            <w:noProof/>
          </w:rPr>
          <w:t>SDG&amp;E CBP DA and DO</w:t>
        </w:r>
        <w:r w:rsidR="00E146A7">
          <w:rPr>
            <w:noProof/>
            <w:webHidden/>
          </w:rPr>
          <w:tab/>
        </w:r>
        <w:r w:rsidR="00E146A7">
          <w:rPr>
            <w:noProof/>
            <w:webHidden/>
          </w:rPr>
          <w:fldChar w:fldCharType="begin"/>
        </w:r>
        <w:r w:rsidR="00E146A7">
          <w:rPr>
            <w:noProof/>
            <w:webHidden/>
          </w:rPr>
          <w:instrText xml:space="preserve"> PAGEREF _Toc414545922 \h </w:instrText>
        </w:r>
        <w:r w:rsidR="00E146A7">
          <w:rPr>
            <w:noProof/>
            <w:webHidden/>
          </w:rPr>
        </w:r>
        <w:r w:rsidR="00E146A7">
          <w:rPr>
            <w:noProof/>
            <w:webHidden/>
          </w:rPr>
          <w:fldChar w:fldCharType="separate"/>
        </w:r>
        <w:r w:rsidR="00EE00AA">
          <w:rPr>
            <w:noProof/>
            <w:webHidden/>
          </w:rPr>
          <w:t>77</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3" w:history="1">
        <w:r w:rsidR="00E146A7" w:rsidRPr="00C71635">
          <w:rPr>
            <w:rStyle w:val="Hyperlink"/>
            <w:noProof/>
          </w:rPr>
          <w:t xml:space="preserve">Table 7–1: </w:t>
        </w:r>
        <w:r w:rsidR="00E146A7" w:rsidRPr="00C71635">
          <w:rPr>
            <w:rStyle w:val="Hyperlink"/>
            <w:i/>
            <w:noProof/>
          </w:rPr>
          <w:t>Ex-Post</w:t>
        </w:r>
        <w:r w:rsidR="00E146A7" w:rsidRPr="00C71635">
          <w:rPr>
            <w:rStyle w:val="Hyperlink"/>
            <w:noProof/>
          </w:rPr>
          <w:t xml:space="preserve"> Results for 2012 through 2014, and </w:t>
        </w:r>
        <w:r w:rsidR="00E146A7" w:rsidRPr="00C71635">
          <w:rPr>
            <w:rStyle w:val="Hyperlink"/>
            <w:i/>
            <w:noProof/>
          </w:rPr>
          <w:t>Ex-Ante</w:t>
        </w:r>
        <w:r w:rsidR="00E146A7" w:rsidRPr="00C71635">
          <w:rPr>
            <w:rStyle w:val="Hyperlink"/>
            <w:noProof/>
          </w:rPr>
          <w:t xml:space="preserve"> for 2015 –  </w:t>
        </w:r>
        <w:r w:rsidR="00E146A7" w:rsidRPr="00C71635">
          <w:rPr>
            <w:rStyle w:val="Hyperlink"/>
            <w:i/>
            <w:noProof/>
          </w:rPr>
          <w:t>PG&amp;E CBP and AM</w:t>
        </w:r>
        <w:r w:rsidR="00E146A7">
          <w:rPr>
            <w:noProof/>
            <w:webHidden/>
          </w:rPr>
          <w:tab/>
        </w:r>
        <w:r w:rsidR="00E146A7">
          <w:rPr>
            <w:noProof/>
            <w:webHidden/>
          </w:rPr>
          <w:fldChar w:fldCharType="begin"/>
        </w:r>
        <w:r w:rsidR="00E146A7">
          <w:rPr>
            <w:noProof/>
            <w:webHidden/>
          </w:rPr>
          <w:instrText xml:space="preserve"> PAGEREF _Toc414545923 \h </w:instrText>
        </w:r>
        <w:r w:rsidR="00E146A7">
          <w:rPr>
            <w:noProof/>
            <w:webHidden/>
          </w:rPr>
        </w:r>
        <w:r w:rsidR="00E146A7">
          <w:rPr>
            <w:noProof/>
            <w:webHidden/>
          </w:rPr>
          <w:fldChar w:fldCharType="separate"/>
        </w:r>
        <w:r w:rsidR="00EE00AA">
          <w:rPr>
            <w:noProof/>
            <w:webHidden/>
          </w:rPr>
          <w:t>80</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4" w:history="1">
        <w:r w:rsidR="00E146A7" w:rsidRPr="00C71635">
          <w:rPr>
            <w:rStyle w:val="Hyperlink"/>
            <w:noProof/>
          </w:rPr>
          <w:t xml:space="preserve">Table 7–2: </w:t>
        </w:r>
        <w:r w:rsidR="00E146A7" w:rsidRPr="00C71635">
          <w:rPr>
            <w:rStyle w:val="Hyperlink"/>
            <w:i/>
            <w:noProof/>
          </w:rPr>
          <w:t>Ex-Ante</w:t>
        </w:r>
        <w:r w:rsidR="00E146A7" w:rsidRPr="00C71635">
          <w:rPr>
            <w:rStyle w:val="Hyperlink"/>
            <w:noProof/>
          </w:rPr>
          <w:t xml:space="preserve"> Load Impacts for 2015 from PY 2013 and PY 2014 Studies, </w:t>
        </w:r>
        <w:r w:rsidR="00E146A7" w:rsidRPr="00C71635">
          <w:rPr>
            <w:rStyle w:val="Hyperlink"/>
            <w:i/>
            <w:noProof/>
          </w:rPr>
          <w:t>PG&amp;E</w:t>
        </w:r>
        <w:r w:rsidR="00E146A7">
          <w:rPr>
            <w:noProof/>
            <w:webHidden/>
          </w:rPr>
          <w:tab/>
        </w:r>
        <w:r w:rsidR="00E146A7">
          <w:rPr>
            <w:noProof/>
            <w:webHidden/>
          </w:rPr>
          <w:fldChar w:fldCharType="begin"/>
        </w:r>
        <w:r w:rsidR="00E146A7">
          <w:rPr>
            <w:noProof/>
            <w:webHidden/>
          </w:rPr>
          <w:instrText xml:space="preserve"> PAGEREF _Toc414545924 \h </w:instrText>
        </w:r>
        <w:r w:rsidR="00E146A7">
          <w:rPr>
            <w:noProof/>
            <w:webHidden/>
          </w:rPr>
        </w:r>
        <w:r w:rsidR="00E146A7">
          <w:rPr>
            <w:noProof/>
            <w:webHidden/>
          </w:rPr>
          <w:fldChar w:fldCharType="separate"/>
        </w:r>
        <w:r w:rsidR="00EE00AA">
          <w:rPr>
            <w:noProof/>
            <w:webHidden/>
          </w:rPr>
          <w:t>81</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5" w:history="1">
        <w:r w:rsidR="00E146A7" w:rsidRPr="00C71635">
          <w:rPr>
            <w:rStyle w:val="Hyperlink"/>
            <w:noProof/>
          </w:rPr>
          <w:t xml:space="preserve">Table 7–3: Current </w:t>
        </w:r>
        <w:r w:rsidR="00E146A7" w:rsidRPr="00C71635">
          <w:rPr>
            <w:rStyle w:val="Hyperlink"/>
            <w:i/>
            <w:noProof/>
          </w:rPr>
          <w:t>Ex-Post</w:t>
        </w:r>
        <w:r w:rsidR="00E146A7" w:rsidRPr="00C71635">
          <w:rPr>
            <w:rStyle w:val="Hyperlink"/>
            <w:noProof/>
          </w:rPr>
          <w:t xml:space="preserve"> and Previous </w:t>
        </w:r>
        <w:r w:rsidR="00E146A7" w:rsidRPr="00C71635">
          <w:rPr>
            <w:rStyle w:val="Hyperlink"/>
            <w:i/>
            <w:noProof/>
          </w:rPr>
          <w:t>Ex-Ante</w:t>
        </w:r>
        <w:r w:rsidR="00E146A7" w:rsidRPr="00C71635">
          <w:rPr>
            <w:rStyle w:val="Hyperlink"/>
            <w:noProof/>
          </w:rPr>
          <w:t xml:space="preserve"> Load Impacts for 2014, </w:t>
        </w:r>
        <w:r w:rsidR="00E146A7" w:rsidRPr="00C71635">
          <w:rPr>
            <w:rStyle w:val="Hyperlink"/>
            <w:i/>
            <w:noProof/>
          </w:rPr>
          <w:t>PG&amp;E</w:t>
        </w:r>
        <w:r w:rsidR="00E146A7">
          <w:rPr>
            <w:noProof/>
            <w:webHidden/>
          </w:rPr>
          <w:tab/>
        </w:r>
        <w:r w:rsidR="00E146A7">
          <w:rPr>
            <w:noProof/>
            <w:webHidden/>
          </w:rPr>
          <w:fldChar w:fldCharType="begin"/>
        </w:r>
        <w:r w:rsidR="00E146A7">
          <w:rPr>
            <w:noProof/>
            <w:webHidden/>
          </w:rPr>
          <w:instrText xml:space="preserve"> PAGEREF _Toc414545925 \h </w:instrText>
        </w:r>
        <w:r w:rsidR="00E146A7">
          <w:rPr>
            <w:noProof/>
            <w:webHidden/>
          </w:rPr>
        </w:r>
        <w:r w:rsidR="00E146A7">
          <w:rPr>
            <w:noProof/>
            <w:webHidden/>
          </w:rPr>
          <w:fldChar w:fldCharType="separate"/>
        </w:r>
        <w:r w:rsidR="00EE00AA">
          <w:rPr>
            <w:noProof/>
            <w:webHidden/>
          </w:rPr>
          <w:t>82</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6" w:history="1">
        <w:r w:rsidR="00E146A7" w:rsidRPr="00C71635">
          <w:rPr>
            <w:rStyle w:val="Hyperlink"/>
            <w:noProof/>
          </w:rPr>
          <w:t xml:space="preserve">Table 7–4: </w:t>
        </w:r>
        <w:r w:rsidR="00E146A7" w:rsidRPr="00C71635">
          <w:rPr>
            <w:rStyle w:val="Hyperlink"/>
            <w:i/>
            <w:noProof/>
          </w:rPr>
          <w:t>Ex-Post</w:t>
        </w:r>
        <w:r w:rsidR="00E146A7" w:rsidRPr="00C71635">
          <w:rPr>
            <w:rStyle w:val="Hyperlink"/>
            <w:noProof/>
          </w:rPr>
          <w:t xml:space="preserve"> Results for 2012 through 2014, and </w:t>
        </w:r>
        <w:r w:rsidR="00E146A7" w:rsidRPr="00C71635">
          <w:rPr>
            <w:rStyle w:val="Hyperlink"/>
            <w:i/>
            <w:noProof/>
          </w:rPr>
          <w:t>Ex-Ante</w:t>
        </w:r>
        <w:r w:rsidR="00E146A7" w:rsidRPr="00C71635">
          <w:rPr>
            <w:rStyle w:val="Hyperlink"/>
            <w:noProof/>
          </w:rPr>
          <w:t xml:space="preserve"> for 2015 –  </w:t>
        </w:r>
        <w:r w:rsidR="00E146A7" w:rsidRPr="00C71635">
          <w:rPr>
            <w:rStyle w:val="Hyperlink"/>
            <w:i/>
            <w:noProof/>
          </w:rPr>
          <w:t>SCE CBP and AMP</w:t>
        </w:r>
        <w:r w:rsidR="00E146A7">
          <w:rPr>
            <w:noProof/>
            <w:webHidden/>
          </w:rPr>
          <w:tab/>
        </w:r>
        <w:r w:rsidR="00E146A7">
          <w:rPr>
            <w:noProof/>
            <w:webHidden/>
          </w:rPr>
          <w:fldChar w:fldCharType="begin"/>
        </w:r>
        <w:r w:rsidR="00E146A7">
          <w:rPr>
            <w:noProof/>
            <w:webHidden/>
          </w:rPr>
          <w:instrText xml:space="preserve"> PAGEREF _Toc414545926 \h </w:instrText>
        </w:r>
        <w:r w:rsidR="00E146A7">
          <w:rPr>
            <w:noProof/>
            <w:webHidden/>
          </w:rPr>
        </w:r>
        <w:r w:rsidR="00E146A7">
          <w:rPr>
            <w:noProof/>
            <w:webHidden/>
          </w:rPr>
          <w:fldChar w:fldCharType="separate"/>
        </w:r>
        <w:r w:rsidR="00EE00AA">
          <w:rPr>
            <w:noProof/>
            <w:webHidden/>
          </w:rPr>
          <w:t>83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7" w:history="1">
        <w:r w:rsidR="00E146A7" w:rsidRPr="00C71635">
          <w:rPr>
            <w:rStyle w:val="Hyperlink"/>
            <w:noProof/>
          </w:rPr>
          <w:t xml:space="preserve">Table 7–5: </w:t>
        </w:r>
        <w:r w:rsidR="00E146A7" w:rsidRPr="00C71635">
          <w:rPr>
            <w:rStyle w:val="Hyperlink"/>
            <w:i/>
            <w:noProof/>
          </w:rPr>
          <w:t>Ex-Ante</w:t>
        </w:r>
        <w:r w:rsidR="00E146A7" w:rsidRPr="00C71635">
          <w:rPr>
            <w:rStyle w:val="Hyperlink"/>
            <w:noProof/>
          </w:rPr>
          <w:t xml:space="preserve"> Forecasts for 2015 from PY 2013 and PY 2014 Studies, </w:t>
        </w:r>
        <w:r w:rsidR="00E146A7" w:rsidRPr="00C71635">
          <w:rPr>
            <w:rStyle w:val="Hyperlink"/>
            <w:i/>
            <w:noProof/>
          </w:rPr>
          <w:t>SCE</w:t>
        </w:r>
        <w:r w:rsidR="00E146A7">
          <w:rPr>
            <w:noProof/>
            <w:webHidden/>
          </w:rPr>
          <w:tab/>
        </w:r>
        <w:r w:rsidR="00E146A7">
          <w:rPr>
            <w:noProof/>
            <w:webHidden/>
          </w:rPr>
          <w:fldChar w:fldCharType="begin"/>
        </w:r>
        <w:r w:rsidR="00E146A7">
          <w:rPr>
            <w:noProof/>
            <w:webHidden/>
          </w:rPr>
          <w:instrText xml:space="preserve"> PAGEREF _Toc414545927 \h </w:instrText>
        </w:r>
        <w:r w:rsidR="00E146A7">
          <w:rPr>
            <w:noProof/>
            <w:webHidden/>
          </w:rPr>
        </w:r>
        <w:r w:rsidR="00E146A7">
          <w:rPr>
            <w:noProof/>
            <w:webHidden/>
          </w:rPr>
          <w:fldChar w:fldCharType="separate"/>
        </w:r>
        <w:r w:rsidR="00EE00AA">
          <w:rPr>
            <w:noProof/>
            <w:webHidden/>
          </w:rPr>
          <w:t>83</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8" w:history="1">
        <w:r w:rsidR="00E146A7" w:rsidRPr="00C71635">
          <w:rPr>
            <w:rStyle w:val="Hyperlink"/>
            <w:noProof/>
          </w:rPr>
          <w:t xml:space="preserve">Table 7–6: Current </w:t>
        </w:r>
        <w:r w:rsidR="00E146A7" w:rsidRPr="00C71635">
          <w:rPr>
            <w:rStyle w:val="Hyperlink"/>
            <w:i/>
            <w:noProof/>
          </w:rPr>
          <w:t>Ex-Post</w:t>
        </w:r>
        <w:r w:rsidR="00E146A7" w:rsidRPr="00C71635">
          <w:rPr>
            <w:rStyle w:val="Hyperlink"/>
            <w:noProof/>
          </w:rPr>
          <w:t xml:space="preserve"> and Previous </w:t>
        </w:r>
        <w:r w:rsidR="00E146A7" w:rsidRPr="00C71635">
          <w:rPr>
            <w:rStyle w:val="Hyperlink"/>
            <w:i/>
            <w:noProof/>
          </w:rPr>
          <w:t>Ex-Ante</w:t>
        </w:r>
        <w:r w:rsidR="00E146A7" w:rsidRPr="00C71635">
          <w:rPr>
            <w:rStyle w:val="Hyperlink"/>
            <w:noProof/>
          </w:rPr>
          <w:t xml:space="preserve"> Forecast Load Impacts for 2014, </w:t>
        </w:r>
        <w:r w:rsidR="00E146A7" w:rsidRPr="00C71635">
          <w:rPr>
            <w:rStyle w:val="Hyperlink"/>
            <w:i/>
            <w:noProof/>
          </w:rPr>
          <w:t>SCE</w:t>
        </w:r>
        <w:r w:rsidR="00E146A7">
          <w:rPr>
            <w:noProof/>
            <w:webHidden/>
          </w:rPr>
          <w:tab/>
        </w:r>
        <w:r w:rsidR="00E146A7">
          <w:rPr>
            <w:noProof/>
            <w:webHidden/>
          </w:rPr>
          <w:fldChar w:fldCharType="begin"/>
        </w:r>
        <w:r w:rsidR="00E146A7">
          <w:rPr>
            <w:noProof/>
            <w:webHidden/>
          </w:rPr>
          <w:instrText xml:space="preserve"> PAGEREF _Toc414545928 \h </w:instrText>
        </w:r>
        <w:r w:rsidR="00E146A7">
          <w:rPr>
            <w:noProof/>
            <w:webHidden/>
          </w:rPr>
        </w:r>
        <w:r w:rsidR="00E146A7">
          <w:rPr>
            <w:noProof/>
            <w:webHidden/>
          </w:rPr>
          <w:fldChar w:fldCharType="separate"/>
        </w:r>
        <w:r w:rsidR="00EE00AA">
          <w:rPr>
            <w:noProof/>
            <w:webHidden/>
          </w:rPr>
          <w:t>84</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29" w:history="1">
        <w:r w:rsidR="00E146A7" w:rsidRPr="00C71635">
          <w:rPr>
            <w:rStyle w:val="Hyperlink"/>
            <w:noProof/>
          </w:rPr>
          <w:t xml:space="preserve">Table 7–7: </w:t>
        </w:r>
        <w:r w:rsidR="00E146A7" w:rsidRPr="00C71635">
          <w:rPr>
            <w:rStyle w:val="Hyperlink"/>
            <w:i/>
            <w:noProof/>
          </w:rPr>
          <w:t>Ex-Post</w:t>
        </w:r>
        <w:r w:rsidR="00E146A7" w:rsidRPr="00C71635">
          <w:rPr>
            <w:rStyle w:val="Hyperlink"/>
            <w:noProof/>
          </w:rPr>
          <w:t xml:space="preserve"> Load Impacts for PY2012 through 2014, and </w:t>
        </w:r>
        <w:r w:rsidR="00E146A7" w:rsidRPr="00C71635">
          <w:rPr>
            <w:rStyle w:val="Hyperlink"/>
            <w:i/>
            <w:noProof/>
          </w:rPr>
          <w:t>Ex-Ante</w:t>
        </w:r>
        <w:r w:rsidR="00E146A7" w:rsidRPr="00C71635">
          <w:rPr>
            <w:rStyle w:val="Hyperlink"/>
            <w:noProof/>
          </w:rPr>
          <w:t xml:space="preserve"> for 2015 –  </w:t>
        </w:r>
        <w:r w:rsidR="00E146A7" w:rsidRPr="00C71635">
          <w:rPr>
            <w:rStyle w:val="Hyperlink"/>
            <w:i/>
            <w:noProof/>
          </w:rPr>
          <w:t>SDG&amp;E CBP</w:t>
        </w:r>
        <w:r w:rsidR="00E146A7">
          <w:rPr>
            <w:noProof/>
            <w:webHidden/>
          </w:rPr>
          <w:tab/>
        </w:r>
        <w:r w:rsidR="00E146A7">
          <w:rPr>
            <w:noProof/>
            <w:webHidden/>
          </w:rPr>
          <w:fldChar w:fldCharType="begin"/>
        </w:r>
        <w:r w:rsidR="00E146A7">
          <w:rPr>
            <w:noProof/>
            <w:webHidden/>
          </w:rPr>
          <w:instrText xml:space="preserve"> PAGEREF _Toc414545929 \h </w:instrText>
        </w:r>
        <w:r w:rsidR="00E146A7">
          <w:rPr>
            <w:noProof/>
            <w:webHidden/>
          </w:rPr>
        </w:r>
        <w:r w:rsidR="00E146A7">
          <w:rPr>
            <w:noProof/>
            <w:webHidden/>
          </w:rPr>
          <w:fldChar w:fldCharType="separate"/>
        </w:r>
        <w:r w:rsidR="00EE00AA">
          <w:rPr>
            <w:noProof/>
            <w:webHidden/>
          </w:rPr>
          <w:t>85</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30" w:history="1">
        <w:r w:rsidR="00E146A7" w:rsidRPr="00C71635">
          <w:rPr>
            <w:rStyle w:val="Hyperlink"/>
            <w:noProof/>
          </w:rPr>
          <w:t xml:space="preserve">Table 7–8: </w:t>
        </w:r>
        <w:r w:rsidR="00E146A7" w:rsidRPr="00C71635">
          <w:rPr>
            <w:rStyle w:val="Hyperlink"/>
            <w:i/>
            <w:noProof/>
          </w:rPr>
          <w:t>Ex-Ante</w:t>
        </w:r>
        <w:r w:rsidR="00E146A7" w:rsidRPr="00C71635">
          <w:rPr>
            <w:rStyle w:val="Hyperlink"/>
            <w:noProof/>
          </w:rPr>
          <w:t xml:space="preserve"> Load Impacts for 2015 from PY 2013 and PY 2014 Studies, </w:t>
        </w:r>
        <w:r w:rsidR="00E146A7" w:rsidRPr="00C71635">
          <w:rPr>
            <w:rStyle w:val="Hyperlink"/>
            <w:i/>
            <w:noProof/>
          </w:rPr>
          <w:t>SDG&amp;E</w:t>
        </w:r>
        <w:r w:rsidR="00E146A7">
          <w:rPr>
            <w:noProof/>
            <w:webHidden/>
          </w:rPr>
          <w:tab/>
        </w:r>
        <w:r w:rsidR="00E146A7">
          <w:rPr>
            <w:noProof/>
            <w:webHidden/>
          </w:rPr>
          <w:fldChar w:fldCharType="begin"/>
        </w:r>
        <w:r w:rsidR="00E146A7">
          <w:rPr>
            <w:noProof/>
            <w:webHidden/>
          </w:rPr>
          <w:instrText xml:space="preserve"> PAGEREF _Toc414545930 \h </w:instrText>
        </w:r>
        <w:r w:rsidR="00E146A7">
          <w:rPr>
            <w:noProof/>
            <w:webHidden/>
          </w:rPr>
        </w:r>
        <w:r w:rsidR="00E146A7">
          <w:rPr>
            <w:noProof/>
            <w:webHidden/>
          </w:rPr>
          <w:fldChar w:fldCharType="separate"/>
        </w:r>
        <w:r w:rsidR="00EE00AA">
          <w:rPr>
            <w:noProof/>
            <w:webHidden/>
          </w:rPr>
          <w:t>85</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31" w:history="1">
        <w:r w:rsidR="00E146A7" w:rsidRPr="00C71635">
          <w:rPr>
            <w:rStyle w:val="Hyperlink"/>
            <w:noProof/>
          </w:rPr>
          <w:t xml:space="preserve">Table 7–9: Current </w:t>
        </w:r>
        <w:r w:rsidR="00E146A7" w:rsidRPr="00C71635">
          <w:rPr>
            <w:rStyle w:val="Hyperlink"/>
            <w:i/>
            <w:noProof/>
          </w:rPr>
          <w:t>Ex-Post</w:t>
        </w:r>
        <w:r w:rsidR="00E146A7" w:rsidRPr="00C71635">
          <w:rPr>
            <w:rStyle w:val="Hyperlink"/>
            <w:noProof/>
          </w:rPr>
          <w:t xml:space="preserve"> and PY2013 </w:t>
        </w:r>
        <w:r w:rsidR="00E146A7" w:rsidRPr="00C71635">
          <w:rPr>
            <w:rStyle w:val="Hyperlink"/>
            <w:i/>
            <w:noProof/>
          </w:rPr>
          <w:t>Ex-Ante</w:t>
        </w:r>
        <w:r w:rsidR="00E146A7" w:rsidRPr="00C71635">
          <w:rPr>
            <w:rStyle w:val="Hyperlink"/>
            <w:noProof/>
          </w:rPr>
          <w:t xml:space="preserve"> Load Impacts for 2014, </w:t>
        </w:r>
        <w:r w:rsidR="00E146A7" w:rsidRPr="00C71635">
          <w:rPr>
            <w:rStyle w:val="Hyperlink"/>
            <w:i/>
            <w:noProof/>
          </w:rPr>
          <w:t>SDG&amp;E</w:t>
        </w:r>
        <w:r w:rsidR="00E146A7">
          <w:rPr>
            <w:noProof/>
            <w:webHidden/>
          </w:rPr>
          <w:tab/>
        </w:r>
        <w:r w:rsidR="00E146A7">
          <w:rPr>
            <w:noProof/>
            <w:webHidden/>
          </w:rPr>
          <w:fldChar w:fldCharType="begin"/>
        </w:r>
        <w:r w:rsidR="00E146A7">
          <w:rPr>
            <w:noProof/>
            <w:webHidden/>
          </w:rPr>
          <w:instrText xml:space="preserve"> PAGEREF _Toc414545931 \h </w:instrText>
        </w:r>
        <w:r w:rsidR="00E146A7">
          <w:rPr>
            <w:noProof/>
            <w:webHidden/>
          </w:rPr>
        </w:r>
        <w:r w:rsidR="00E146A7">
          <w:rPr>
            <w:noProof/>
            <w:webHidden/>
          </w:rPr>
          <w:fldChar w:fldCharType="separate"/>
        </w:r>
        <w:r w:rsidR="00EE00AA">
          <w:rPr>
            <w:noProof/>
            <w:webHidden/>
          </w:rPr>
          <w:t>86</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32" w:history="1">
        <w:r w:rsidR="00E146A7" w:rsidRPr="00C71635">
          <w:rPr>
            <w:rStyle w:val="Hyperlink"/>
            <w:noProof/>
          </w:rPr>
          <w:t>Table 8–1: Weather Variables Included in the Tested Specifications</w:t>
        </w:r>
        <w:r w:rsidR="00E146A7">
          <w:rPr>
            <w:noProof/>
            <w:webHidden/>
          </w:rPr>
          <w:tab/>
        </w:r>
        <w:r w:rsidR="00E146A7">
          <w:rPr>
            <w:noProof/>
            <w:webHidden/>
          </w:rPr>
          <w:fldChar w:fldCharType="begin"/>
        </w:r>
        <w:r w:rsidR="00E146A7">
          <w:rPr>
            <w:noProof/>
            <w:webHidden/>
          </w:rPr>
          <w:instrText xml:space="preserve"> PAGEREF _Toc414545932 \h </w:instrText>
        </w:r>
        <w:r w:rsidR="00E146A7">
          <w:rPr>
            <w:noProof/>
            <w:webHidden/>
          </w:rPr>
        </w:r>
        <w:r w:rsidR="00E146A7">
          <w:rPr>
            <w:noProof/>
            <w:webHidden/>
          </w:rPr>
          <w:fldChar w:fldCharType="separate"/>
        </w:r>
        <w:r w:rsidR="00EE00AA">
          <w:rPr>
            <w:noProof/>
            <w:webHidden/>
          </w:rPr>
          <w:t>87</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33" w:history="1">
        <w:r w:rsidR="00E146A7" w:rsidRPr="00C71635">
          <w:rPr>
            <w:rStyle w:val="Hyperlink"/>
            <w:noProof/>
          </w:rPr>
          <w:t>Table 8–2: List of Event-Like Non-Event Days by Program</w:t>
        </w:r>
        <w:r w:rsidR="00E146A7">
          <w:rPr>
            <w:noProof/>
            <w:webHidden/>
          </w:rPr>
          <w:tab/>
        </w:r>
        <w:r w:rsidR="00E146A7">
          <w:rPr>
            <w:noProof/>
            <w:webHidden/>
          </w:rPr>
          <w:fldChar w:fldCharType="begin"/>
        </w:r>
        <w:r w:rsidR="00E146A7">
          <w:rPr>
            <w:noProof/>
            <w:webHidden/>
          </w:rPr>
          <w:instrText xml:space="preserve"> PAGEREF _Toc414545933 \h </w:instrText>
        </w:r>
        <w:r w:rsidR="00E146A7">
          <w:rPr>
            <w:noProof/>
            <w:webHidden/>
          </w:rPr>
        </w:r>
        <w:r w:rsidR="00E146A7">
          <w:rPr>
            <w:noProof/>
            <w:webHidden/>
          </w:rPr>
          <w:fldChar w:fldCharType="separate"/>
        </w:r>
        <w:r w:rsidR="00EE00AA">
          <w:rPr>
            <w:noProof/>
            <w:webHidden/>
          </w:rPr>
          <w:t>88</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34" w:history="1">
        <w:r w:rsidR="00E146A7" w:rsidRPr="00C71635">
          <w:rPr>
            <w:rStyle w:val="Hyperlink"/>
            <w:noProof/>
          </w:rPr>
          <w:t>Table 8–3: Specification Test Results for the “Winning” Model</w:t>
        </w:r>
        <w:r w:rsidR="00E146A7">
          <w:rPr>
            <w:noProof/>
            <w:webHidden/>
          </w:rPr>
          <w:tab/>
        </w:r>
        <w:r w:rsidR="00E146A7">
          <w:rPr>
            <w:noProof/>
            <w:webHidden/>
          </w:rPr>
          <w:fldChar w:fldCharType="begin"/>
        </w:r>
        <w:r w:rsidR="00E146A7">
          <w:rPr>
            <w:noProof/>
            <w:webHidden/>
          </w:rPr>
          <w:instrText xml:space="preserve"> PAGEREF _Toc414545934 \h </w:instrText>
        </w:r>
        <w:r w:rsidR="00E146A7">
          <w:rPr>
            <w:noProof/>
            <w:webHidden/>
          </w:rPr>
        </w:r>
        <w:r w:rsidR="00E146A7">
          <w:rPr>
            <w:noProof/>
            <w:webHidden/>
          </w:rPr>
          <w:fldChar w:fldCharType="separate"/>
        </w:r>
        <w:r w:rsidR="00EE00AA">
          <w:rPr>
            <w:noProof/>
            <w:webHidden/>
          </w:rPr>
          <w:t>89</w:t>
        </w:r>
        <w:r w:rsidR="00E146A7">
          <w:rPr>
            <w:noProof/>
            <w:webHidden/>
          </w:rPr>
          <w:fldChar w:fldCharType="end"/>
        </w:r>
      </w:hyperlink>
    </w:p>
    <w:p w:rsidR="00E146A7" w:rsidRDefault="00030F3E">
      <w:pPr>
        <w:pStyle w:val="TableofFigures"/>
        <w:tabs>
          <w:tab w:val="right" w:leader="dot" w:pos="9350"/>
        </w:tabs>
        <w:rPr>
          <w:rFonts w:asciiTheme="minorHAnsi" w:eastAsiaTheme="minorEastAsia" w:hAnsiTheme="minorHAnsi" w:cstheme="minorBidi"/>
          <w:noProof/>
          <w:sz w:val="22"/>
          <w:szCs w:val="22"/>
        </w:rPr>
      </w:pPr>
      <w:hyperlink w:anchor="_Toc414545935" w:history="1">
        <w:r w:rsidR="00E146A7" w:rsidRPr="00C71635">
          <w:rPr>
            <w:rStyle w:val="Hyperlink"/>
            <w:noProof/>
          </w:rPr>
          <w:t>Table 8–4: Synthetic Event-Day Tests by Program</w:t>
        </w:r>
        <w:r w:rsidR="00E146A7">
          <w:rPr>
            <w:noProof/>
            <w:webHidden/>
          </w:rPr>
          <w:tab/>
        </w:r>
        <w:r w:rsidR="00E146A7">
          <w:rPr>
            <w:noProof/>
            <w:webHidden/>
          </w:rPr>
          <w:fldChar w:fldCharType="begin"/>
        </w:r>
        <w:r w:rsidR="00E146A7">
          <w:rPr>
            <w:noProof/>
            <w:webHidden/>
          </w:rPr>
          <w:instrText xml:space="preserve"> PAGEREF _Toc414545935 \h </w:instrText>
        </w:r>
        <w:r w:rsidR="00E146A7">
          <w:rPr>
            <w:noProof/>
            <w:webHidden/>
          </w:rPr>
        </w:r>
        <w:r w:rsidR="00E146A7">
          <w:rPr>
            <w:noProof/>
            <w:webHidden/>
          </w:rPr>
          <w:fldChar w:fldCharType="separate"/>
        </w:r>
        <w:r w:rsidR="00EE00AA">
          <w:rPr>
            <w:noProof/>
            <w:webHidden/>
          </w:rPr>
          <w:t>93</w:t>
        </w:r>
        <w:r w:rsidR="00E146A7">
          <w:rPr>
            <w:noProof/>
            <w:webHidden/>
          </w:rPr>
          <w:fldChar w:fldCharType="end"/>
        </w:r>
      </w:hyperlink>
    </w:p>
    <w:p w:rsidR="00952923" w:rsidRDefault="00952923" w:rsidP="00952923">
      <w:pPr>
        <w:spacing w:afterLines="60" w:after="144" w:line="360" w:lineRule="auto"/>
        <w:ind w:left="1181" w:right="720" w:hanging="1181"/>
        <w:jc w:val="center"/>
        <w:rPr>
          <w:b/>
          <w:sz w:val="28"/>
          <w:szCs w:val="28"/>
        </w:rPr>
        <w:sectPr w:rsidR="00952923" w:rsidSect="00952923">
          <w:pgSz w:w="12240" w:h="15840"/>
          <w:pgMar w:top="1440" w:right="1440" w:bottom="1440" w:left="1440" w:header="720" w:footer="720" w:gutter="0"/>
          <w:pgNumType w:fmt="lowerRoman"/>
          <w:cols w:space="720"/>
          <w:docGrid w:linePitch="360"/>
        </w:sectPr>
      </w:pPr>
      <w:r>
        <w:rPr>
          <w:b/>
          <w:sz w:val="28"/>
          <w:szCs w:val="28"/>
        </w:rPr>
        <w:fldChar w:fldCharType="end"/>
      </w:r>
    </w:p>
    <w:p w:rsidR="00952923" w:rsidRPr="00952923" w:rsidRDefault="00952923" w:rsidP="00952923">
      <w:pPr>
        <w:jc w:val="center"/>
        <w:rPr>
          <w:b/>
        </w:rPr>
      </w:pPr>
      <w:r w:rsidRPr="00952923">
        <w:rPr>
          <w:b/>
        </w:rPr>
        <w:lastRenderedPageBreak/>
        <w:t xml:space="preserve">Figures </w:t>
      </w:r>
    </w:p>
    <w:p w:rsidR="00952923" w:rsidRPr="00952923" w:rsidRDefault="00952923" w:rsidP="00952923">
      <w:pPr>
        <w:jc w:val="center"/>
        <w:rPr>
          <w:b/>
          <w:sz w:val="28"/>
          <w:szCs w:val="28"/>
        </w:rPr>
      </w:pPr>
    </w:p>
    <w:p w:rsidR="00E32C64" w:rsidRDefault="00952923">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"Figure Caption" \c </w:instrText>
      </w:r>
      <w:r>
        <w:rPr>
          <w:b/>
          <w:sz w:val="28"/>
          <w:szCs w:val="28"/>
        </w:rPr>
        <w:fldChar w:fldCharType="separate"/>
      </w:r>
      <w:hyperlink w:anchor="_Toc412549190" w:history="1">
        <w:r w:rsidR="00E32C64" w:rsidRPr="00CA55DD">
          <w:rPr>
            <w:rStyle w:val="Hyperlink"/>
            <w:noProof/>
          </w:rPr>
          <w:t xml:space="preserve">Figure 4–1: Hourly Loads and Load Impacts – PG&amp;E CBP DO 1-4  </w:t>
        </w:r>
        <w:r w:rsidR="00E32C64" w:rsidRPr="00CA55DD">
          <w:rPr>
            <w:rStyle w:val="Hyperlink"/>
            <w:i/>
            <w:noProof/>
          </w:rPr>
          <w:t>July 28, 2014 Event</w:t>
        </w:r>
        <w:r w:rsidR="00E32C64">
          <w:rPr>
            <w:noProof/>
            <w:webHidden/>
          </w:rPr>
          <w:tab/>
        </w:r>
        <w:r w:rsidR="00E32C64">
          <w:rPr>
            <w:noProof/>
            <w:webHidden/>
          </w:rPr>
          <w:fldChar w:fldCharType="begin"/>
        </w:r>
        <w:r w:rsidR="00E32C64">
          <w:rPr>
            <w:noProof/>
            <w:webHidden/>
          </w:rPr>
          <w:instrText xml:space="preserve"> PAGEREF _Toc412549190 \h </w:instrText>
        </w:r>
        <w:r w:rsidR="00E32C64">
          <w:rPr>
            <w:noProof/>
            <w:webHidden/>
          </w:rPr>
        </w:r>
        <w:r w:rsidR="00E32C64">
          <w:rPr>
            <w:noProof/>
            <w:webHidden/>
          </w:rPr>
          <w:fldChar w:fldCharType="separate"/>
        </w:r>
        <w:r w:rsidR="00EE00AA">
          <w:rPr>
            <w:noProof/>
            <w:webHidden/>
          </w:rPr>
          <w:t>28</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1" w:history="1">
        <w:r w:rsidR="00E32C64" w:rsidRPr="00CA55DD">
          <w:rPr>
            <w:rStyle w:val="Hyperlink"/>
            <w:noProof/>
          </w:rPr>
          <w:t xml:space="preserve">Figure 4–2: Hourly Loads and Load Impacts – PG&amp;E CBP DO 2-6  </w:t>
        </w:r>
        <w:r w:rsidR="00E32C64" w:rsidRPr="00CA55DD">
          <w:rPr>
            <w:rStyle w:val="Hyperlink"/>
            <w:i/>
            <w:noProof/>
          </w:rPr>
          <w:t>July 28, 2014 Event</w:t>
        </w:r>
        <w:r w:rsidR="00E32C64">
          <w:rPr>
            <w:noProof/>
            <w:webHidden/>
          </w:rPr>
          <w:tab/>
        </w:r>
        <w:r w:rsidR="00E32C64">
          <w:rPr>
            <w:noProof/>
            <w:webHidden/>
          </w:rPr>
          <w:fldChar w:fldCharType="begin"/>
        </w:r>
        <w:r w:rsidR="00E32C64">
          <w:rPr>
            <w:noProof/>
            <w:webHidden/>
          </w:rPr>
          <w:instrText xml:space="preserve"> PAGEREF _Toc412549191 \h </w:instrText>
        </w:r>
        <w:r w:rsidR="00E32C64">
          <w:rPr>
            <w:noProof/>
            <w:webHidden/>
          </w:rPr>
        </w:r>
        <w:r w:rsidR="00E32C64">
          <w:rPr>
            <w:noProof/>
            <w:webHidden/>
          </w:rPr>
          <w:fldChar w:fldCharType="separate"/>
        </w:r>
        <w:r w:rsidR="00EE00AA">
          <w:rPr>
            <w:noProof/>
            <w:webHidden/>
          </w:rPr>
          <w:t>28</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2" w:history="1">
        <w:r w:rsidR="00E32C64" w:rsidRPr="00CA55DD">
          <w:rPr>
            <w:rStyle w:val="Hyperlink"/>
            <w:noProof/>
          </w:rPr>
          <w:t xml:space="preserve">Figure 4–3: Hourly Loads and Load Impacts – SCE CBP DO 1-4  </w:t>
        </w:r>
        <w:r w:rsidR="00E32C64" w:rsidRPr="00CA55DD">
          <w:rPr>
            <w:rStyle w:val="Hyperlink"/>
            <w:i/>
            <w:noProof/>
          </w:rPr>
          <w:t>July 30, 2014 Event</w:t>
        </w:r>
        <w:r w:rsidR="00E32C64">
          <w:rPr>
            <w:noProof/>
            <w:webHidden/>
          </w:rPr>
          <w:tab/>
        </w:r>
        <w:r w:rsidR="00E32C64">
          <w:rPr>
            <w:noProof/>
            <w:webHidden/>
          </w:rPr>
          <w:fldChar w:fldCharType="begin"/>
        </w:r>
        <w:r w:rsidR="00E32C64">
          <w:rPr>
            <w:noProof/>
            <w:webHidden/>
          </w:rPr>
          <w:instrText xml:space="preserve"> PAGEREF _Toc412549192 \h </w:instrText>
        </w:r>
        <w:r w:rsidR="00E32C64">
          <w:rPr>
            <w:noProof/>
            <w:webHidden/>
          </w:rPr>
        </w:r>
        <w:r w:rsidR="00E32C64">
          <w:rPr>
            <w:noProof/>
            <w:webHidden/>
          </w:rPr>
          <w:fldChar w:fldCharType="separate"/>
        </w:r>
        <w:r w:rsidR="00EE00AA">
          <w:rPr>
            <w:noProof/>
            <w:webHidden/>
          </w:rPr>
          <w:t>39</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3" w:history="1">
        <w:r w:rsidR="00E32C64" w:rsidRPr="00CA55DD">
          <w:rPr>
            <w:rStyle w:val="Hyperlink"/>
            <w:noProof/>
          </w:rPr>
          <w:t xml:space="preserve">Figure 4–4: Hourly Loads and Load Impacts – SDG&amp;E CBP DO Total  </w:t>
        </w:r>
        <w:r w:rsidR="00E32C64" w:rsidRPr="00CA55DD">
          <w:rPr>
            <w:rStyle w:val="Hyperlink"/>
            <w:i/>
            <w:noProof/>
          </w:rPr>
          <w:t>September 11 Event</w:t>
        </w:r>
        <w:r w:rsidR="00E32C64">
          <w:rPr>
            <w:noProof/>
            <w:webHidden/>
          </w:rPr>
          <w:tab/>
        </w:r>
        <w:r w:rsidR="00E32C64">
          <w:rPr>
            <w:noProof/>
            <w:webHidden/>
          </w:rPr>
          <w:fldChar w:fldCharType="begin"/>
        </w:r>
        <w:r w:rsidR="00E32C64">
          <w:rPr>
            <w:noProof/>
            <w:webHidden/>
          </w:rPr>
          <w:instrText xml:space="preserve"> PAGEREF _Toc412549193 \h </w:instrText>
        </w:r>
        <w:r w:rsidR="00E32C64">
          <w:rPr>
            <w:noProof/>
            <w:webHidden/>
          </w:rPr>
        </w:r>
        <w:r w:rsidR="00E32C64">
          <w:rPr>
            <w:noProof/>
            <w:webHidden/>
          </w:rPr>
          <w:fldChar w:fldCharType="separate"/>
        </w:r>
        <w:r w:rsidR="00EE00AA">
          <w:rPr>
            <w:noProof/>
            <w:webHidden/>
          </w:rPr>
          <w:t>45</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4" w:history="1">
        <w:r w:rsidR="00E32C64" w:rsidRPr="00CA55DD">
          <w:rPr>
            <w:rStyle w:val="Hyperlink"/>
            <w:noProof/>
          </w:rPr>
          <w:t xml:space="preserve">Figure 5–1: Hourly Loads and Load Impacts – PG&amp;E AMP DA Local </w:t>
        </w:r>
        <w:r w:rsidR="00E32C64" w:rsidRPr="00CA55DD">
          <w:rPr>
            <w:rStyle w:val="Hyperlink"/>
            <w:i/>
            <w:noProof/>
          </w:rPr>
          <w:t>July 29, 2014 Event</w:t>
        </w:r>
        <w:r w:rsidR="00E32C64">
          <w:rPr>
            <w:noProof/>
            <w:webHidden/>
          </w:rPr>
          <w:tab/>
        </w:r>
        <w:r w:rsidR="00E32C64">
          <w:rPr>
            <w:noProof/>
            <w:webHidden/>
          </w:rPr>
          <w:fldChar w:fldCharType="begin"/>
        </w:r>
        <w:r w:rsidR="00E32C64">
          <w:rPr>
            <w:noProof/>
            <w:webHidden/>
          </w:rPr>
          <w:instrText xml:space="preserve"> PAGEREF _Toc412549194 \h </w:instrText>
        </w:r>
        <w:r w:rsidR="00E32C64">
          <w:rPr>
            <w:noProof/>
            <w:webHidden/>
          </w:rPr>
        </w:r>
        <w:r w:rsidR="00E32C64">
          <w:rPr>
            <w:noProof/>
            <w:webHidden/>
          </w:rPr>
          <w:fldChar w:fldCharType="separate"/>
        </w:r>
        <w:r w:rsidR="00EE00AA">
          <w:rPr>
            <w:noProof/>
            <w:webHidden/>
          </w:rPr>
          <w:t>53</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5" w:history="1">
        <w:r w:rsidR="00E32C64" w:rsidRPr="00CA55DD">
          <w:rPr>
            <w:rStyle w:val="Hyperlink"/>
            <w:noProof/>
          </w:rPr>
          <w:t xml:space="preserve">Figure 5–2: Hourly Loads and Load Impacts – PG&amp;E AMP DO Local  </w:t>
        </w:r>
        <w:r w:rsidR="00E32C64" w:rsidRPr="00CA55DD">
          <w:rPr>
            <w:rStyle w:val="Hyperlink"/>
            <w:i/>
            <w:noProof/>
          </w:rPr>
          <w:t>July 29, 2014 Event</w:t>
        </w:r>
        <w:r w:rsidR="00E32C64">
          <w:rPr>
            <w:noProof/>
            <w:webHidden/>
          </w:rPr>
          <w:tab/>
        </w:r>
        <w:r w:rsidR="00E32C64">
          <w:rPr>
            <w:noProof/>
            <w:webHidden/>
          </w:rPr>
          <w:fldChar w:fldCharType="begin"/>
        </w:r>
        <w:r w:rsidR="00E32C64">
          <w:rPr>
            <w:noProof/>
            <w:webHidden/>
          </w:rPr>
          <w:instrText xml:space="preserve"> PAGEREF _Toc412549195 \h </w:instrText>
        </w:r>
        <w:r w:rsidR="00E32C64">
          <w:rPr>
            <w:noProof/>
            <w:webHidden/>
          </w:rPr>
        </w:r>
        <w:r w:rsidR="00E32C64">
          <w:rPr>
            <w:noProof/>
            <w:webHidden/>
          </w:rPr>
          <w:fldChar w:fldCharType="separate"/>
        </w:r>
        <w:r w:rsidR="00EE00AA">
          <w:rPr>
            <w:noProof/>
            <w:webHidden/>
          </w:rPr>
          <w:t>54</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6" w:history="1">
        <w:r w:rsidR="00E32C64" w:rsidRPr="00CA55DD">
          <w:rPr>
            <w:rStyle w:val="Hyperlink"/>
            <w:noProof/>
          </w:rPr>
          <w:t xml:space="preserve">Figure 5–3: Hourly Loads and Load Impacts – SCE AMP DO 1-6 </w:t>
        </w:r>
        <w:r w:rsidR="00E32C64" w:rsidRPr="00CA55DD">
          <w:rPr>
            <w:rStyle w:val="Hyperlink"/>
            <w:i/>
            <w:noProof/>
          </w:rPr>
          <w:t>July 25, 2014 Event</w:t>
        </w:r>
        <w:r w:rsidR="00E32C64">
          <w:rPr>
            <w:noProof/>
            <w:webHidden/>
          </w:rPr>
          <w:tab/>
        </w:r>
        <w:r w:rsidR="00E32C64">
          <w:rPr>
            <w:noProof/>
            <w:webHidden/>
          </w:rPr>
          <w:fldChar w:fldCharType="begin"/>
        </w:r>
        <w:r w:rsidR="00E32C64">
          <w:rPr>
            <w:noProof/>
            <w:webHidden/>
          </w:rPr>
          <w:instrText xml:space="preserve"> PAGEREF _Toc412549196 \h </w:instrText>
        </w:r>
        <w:r w:rsidR="00E32C64">
          <w:rPr>
            <w:noProof/>
            <w:webHidden/>
          </w:rPr>
        </w:r>
        <w:r w:rsidR="00E32C64">
          <w:rPr>
            <w:noProof/>
            <w:webHidden/>
          </w:rPr>
          <w:fldChar w:fldCharType="separate"/>
        </w:r>
        <w:r w:rsidR="00EE00AA">
          <w:rPr>
            <w:noProof/>
            <w:webHidden/>
          </w:rPr>
          <w:t>61</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7" w:history="1">
        <w:r w:rsidR="00E32C64" w:rsidRPr="00CA55DD">
          <w:rPr>
            <w:rStyle w:val="Hyperlink"/>
            <w:noProof/>
          </w:rPr>
          <w:t xml:space="preserve">Figure 6–1: Distribution of </w:t>
        </w:r>
        <w:r w:rsidR="00E32C64" w:rsidRPr="00CA55DD">
          <w:rPr>
            <w:rStyle w:val="Hyperlink"/>
            <w:i/>
            <w:noProof/>
          </w:rPr>
          <w:t>Ex-Ante</w:t>
        </w:r>
        <w:r w:rsidR="00E32C64" w:rsidRPr="00CA55DD">
          <w:rPr>
            <w:rStyle w:val="Hyperlink"/>
            <w:noProof/>
          </w:rPr>
          <w:t xml:space="preserve"> Load Impacts by LCA for an August Peak Day in 2015 in  1-in-2 Utility-Peak Weather Conditions (</w:t>
        </w:r>
        <w:r w:rsidR="00E32C64" w:rsidRPr="00CA55DD">
          <w:rPr>
            <w:rStyle w:val="Hyperlink"/>
            <w:i/>
            <w:noProof/>
          </w:rPr>
          <w:t>PG&amp;E CBP</w:t>
        </w:r>
        <w:r w:rsidR="00E32C64" w:rsidRPr="00CA55DD">
          <w:rPr>
            <w:rStyle w:val="Hyperlink"/>
            <w:noProof/>
          </w:rPr>
          <w:t xml:space="preserve"> </w:t>
        </w:r>
        <w:r w:rsidR="00E32C64" w:rsidRPr="00CA55DD">
          <w:rPr>
            <w:rStyle w:val="Hyperlink"/>
            <w:i/>
            <w:noProof/>
          </w:rPr>
          <w:t>DA and DO</w:t>
        </w:r>
        <w:r w:rsidR="00E32C64" w:rsidRPr="00CA55DD">
          <w:rPr>
            <w:rStyle w:val="Hyperlink"/>
            <w:noProof/>
          </w:rPr>
          <w:t>)</w:t>
        </w:r>
        <w:r w:rsidR="00E32C64">
          <w:rPr>
            <w:noProof/>
            <w:webHidden/>
          </w:rPr>
          <w:tab/>
        </w:r>
        <w:r w:rsidR="00E32C64">
          <w:rPr>
            <w:noProof/>
            <w:webHidden/>
          </w:rPr>
          <w:fldChar w:fldCharType="begin"/>
        </w:r>
        <w:r w:rsidR="00E32C64">
          <w:rPr>
            <w:noProof/>
            <w:webHidden/>
          </w:rPr>
          <w:instrText xml:space="preserve"> PAGEREF _Toc412549197 \h </w:instrText>
        </w:r>
        <w:r w:rsidR="00E32C64">
          <w:rPr>
            <w:noProof/>
            <w:webHidden/>
          </w:rPr>
        </w:r>
        <w:r w:rsidR="00E32C64">
          <w:rPr>
            <w:noProof/>
            <w:webHidden/>
          </w:rPr>
          <w:fldChar w:fldCharType="separate"/>
        </w:r>
        <w:r w:rsidR="00EE00AA">
          <w:rPr>
            <w:noProof/>
            <w:webHidden/>
          </w:rPr>
          <w:t>68</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8" w:history="1">
        <w:r w:rsidR="00E32C64" w:rsidRPr="00CA55DD">
          <w:rPr>
            <w:rStyle w:val="Hyperlink"/>
            <w:noProof/>
          </w:rPr>
          <w:t xml:space="preserve">Figure 6–2: Hourly Event-Day Load Impacts for an August Peak Day in 2015 in 1-in-2 Weather Conditions – </w:t>
        </w:r>
        <w:r w:rsidR="00E32C64" w:rsidRPr="00CA55DD">
          <w:rPr>
            <w:rStyle w:val="Hyperlink"/>
            <w:i/>
            <w:noProof/>
          </w:rPr>
          <w:t>PG&amp;E CBP</w:t>
        </w:r>
        <w:r w:rsidR="00E32C64" w:rsidRPr="00CA55DD">
          <w:rPr>
            <w:rStyle w:val="Hyperlink"/>
            <w:noProof/>
          </w:rPr>
          <w:t xml:space="preserve"> </w:t>
        </w:r>
        <w:r w:rsidR="00E32C64" w:rsidRPr="00CA55DD">
          <w:rPr>
            <w:rStyle w:val="Hyperlink"/>
            <w:i/>
            <w:noProof/>
          </w:rPr>
          <w:t>DA</w:t>
        </w:r>
        <w:r w:rsidR="00E32C64">
          <w:rPr>
            <w:noProof/>
            <w:webHidden/>
          </w:rPr>
          <w:tab/>
        </w:r>
        <w:r w:rsidR="00E32C64">
          <w:rPr>
            <w:noProof/>
            <w:webHidden/>
          </w:rPr>
          <w:fldChar w:fldCharType="begin"/>
        </w:r>
        <w:r w:rsidR="00E32C64">
          <w:rPr>
            <w:noProof/>
            <w:webHidden/>
          </w:rPr>
          <w:instrText xml:space="preserve"> PAGEREF _Toc412549198 \h </w:instrText>
        </w:r>
        <w:r w:rsidR="00E32C64">
          <w:rPr>
            <w:noProof/>
            <w:webHidden/>
          </w:rPr>
        </w:r>
        <w:r w:rsidR="00E32C64">
          <w:rPr>
            <w:noProof/>
            <w:webHidden/>
          </w:rPr>
          <w:fldChar w:fldCharType="separate"/>
        </w:r>
        <w:r w:rsidR="00EE00AA">
          <w:rPr>
            <w:noProof/>
            <w:webHidden/>
          </w:rPr>
          <w:t>69</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199" w:history="1">
        <w:r w:rsidR="00E32C64" w:rsidRPr="00CA55DD">
          <w:rPr>
            <w:rStyle w:val="Hyperlink"/>
            <w:noProof/>
          </w:rPr>
          <w:t xml:space="preserve">Figure 6–3: Hourly Event-Day Load Impacts for an August Peak Day in 2015 in 1-in-2 Weather Conditions – </w:t>
        </w:r>
        <w:r w:rsidR="00E32C64" w:rsidRPr="00CA55DD">
          <w:rPr>
            <w:rStyle w:val="Hyperlink"/>
            <w:i/>
            <w:noProof/>
          </w:rPr>
          <w:t>PG&amp;E CBP DO</w:t>
        </w:r>
        <w:r w:rsidR="00E32C64">
          <w:rPr>
            <w:noProof/>
            <w:webHidden/>
          </w:rPr>
          <w:tab/>
        </w:r>
        <w:r w:rsidR="00E32C64">
          <w:rPr>
            <w:noProof/>
            <w:webHidden/>
          </w:rPr>
          <w:fldChar w:fldCharType="begin"/>
        </w:r>
        <w:r w:rsidR="00E32C64">
          <w:rPr>
            <w:noProof/>
            <w:webHidden/>
          </w:rPr>
          <w:instrText xml:space="preserve"> PAGEREF _Toc412549199 \h </w:instrText>
        </w:r>
        <w:r w:rsidR="00E32C64">
          <w:rPr>
            <w:noProof/>
            <w:webHidden/>
          </w:rPr>
        </w:r>
        <w:r w:rsidR="00E32C64">
          <w:rPr>
            <w:noProof/>
            <w:webHidden/>
          </w:rPr>
          <w:fldChar w:fldCharType="separate"/>
        </w:r>
        <w:r w:rsidR="00EE00AA">
          <w:rPr>
            <w:noProof/>
            <w:webHidden/>
          </w:rPr>
          <w:t>70</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0" w:history="1">
        <w:r w:rsidR="00E32C64" w:rsidRPr="00CA55DD">
          <w:rPr>
            <w:rStyle w:val="Hyperlink"/>
            <w:noProof/>
          </w:rPr>
          <w:t xml:space="preserve">Figure 6–4: Distribution of Load Impacts by LCA for an August Peak Day in 2015 in 1-in-2 Utility-Peak Weather Conditions – </w:t>
        </w:r>
        <w:r w:rsidR="00E32C64" w:rsidRPr="00CA55DD">
          <w:rPr>
            <w:rStyle w:val="Hyperlink"/>
            <w:i/>
            <w:noProof/>
          </w:rPr>
          <w:t>AMP DO</w:t>
        </w:r>
        <w:r w:rsidR="00E32C64">
          <w:rPr>
            <w:noProof/>
            <w:webHidden/>
          </w:rPr>
          <w:tab/>
        </w:r>
        <w:r w:rsidR="00E32C64">
          <w:rPr>
            <w:noProof/>
            <w:webHidden/>
          </w:rPr>
          <w:fldChar w:fldCharType="begin"/>
        </w:r>
        <w:r w:rsidR="00E32C64">
          <w:rPr>
            <w:noProof/>
            <w:webHidden/>
          </w:rPr>
          <w:instrText xml:space="preserve"> PAGEREF _Toc412549200 \h </w:instrText>
        </w:r>
        <w:r w:rsidR="00E32C64">
          <w:rPr>
            <w:noProof/>
            <w:webHidden/>
          </w:rPr>
        </w:r>
        <w:r w:rsidR="00E32C64">
          <w:rPr>
            <w:noProof/>
            <w:webHidden/>
          </w:rPr>
          <w:fldChar w:fldCharType="separate"/>
        </w:r>
        <w:r w:rsidR="00EE00AA">
          <w:rPr>
            <w:noProof/>
            <w:webHidden/>
          </w:rPr>
          <w:t>71</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1" w:history="1">
        <w:r w:rsidR="00E32C64" w:rsidRPr="00CA55DD">
          <w:rPr>
            <w:rStyle w:val="Hyperlink"/>
            <w:noProof/>
          </w:rPr>
          <w:t xml:space="preserve">Figure 6–5: Hourly Event Day Load Impacts for an August Peak Day in 2015 in 1-in-2 Weather Conditions – </w:t>
        </w:r>
        <w:r w:rsidR="00E32C64" w:rsidRPr="00CA55DD">
          <w:rPr>
            <w:rStyle w:val="Hyperlink"/>
            <w:i/>
            <w:noProof/>
          </w:rPr>
          <w:t>AMP DO</w:t>
        </w:r>
        <w:r w:rsidR="00E32C64">
          <w:rPr>
            <w:noProof/>
            <w:webHidden/>
          </w:rPr>
          <w:tab/>
        </w:r>
        <w:r w:rsidR="00E32C64">
          <w:rPr>
            <w:noProof/>
            <w:webHidden/>
          </w:rPr>
          <w:fldChar w:fldCharType="begin"/>
        </w:r>
        <w:r w:rsidR="00E32C64">
          <w:rPr>
            <w:noProof/>
            <w:webHidden/>
          </w:rPr>
          <w:instrText xml:space="preserve"> PAGEREF _Toc412549201 \h </w:instrText>
        </w:r>
        <w:r w:rsidR="00E32C64">
          <w:rPr>
            <w:noProof/>
            <w:webHidden/>
          </w:rPr>
        </w:r>
        <w:r w:rsidR="00E32C64">
          <w:rPr>
            <w:noProof/>
            <w:webHidden/>
          </w:rPr>
          <w:fldChar w:fldCharType="separate"/>
        </w:r>
        <w:r w:rsidR="00EE00AA">
          <w:rPr>
            <w:noProof/>
            <w:webHidden/>
          </w:rPr>
          <w:t>72</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2" w:history="1">
        <w:r w:rsidR="00E32C64" w:rsidRPr="00CA55DD">
          <w:rPr>
            <w:rStyle w:val="Hyperlink"/>
            <w:noProof/>
          </w:rPr>
          <w:t xml:space="preserve">Figure 6–7: Distribution of Load Impacts by LCA for an August Peak Day in 2015 in 1-in-2 Weather Conditions – </w:t>
        </w:r>
        <w:r w:rsidR="00E32C64" w:rsidRPr="00CA55DD">
          <w:rPr>
            <w:rStyle w:val="Hyperlink"/>
            <w:i/>
            <w:noProof/>
          </w:rPr>
          <w:t>SCE CBP</w:t>
        </w:r>
        <w:r w:rsidR="00E32C64">
          <w:rPr>
            <w:noProof/>
            <w:webHidden/>
          </w:rPr>
          <w:tab/>
        </w:r>
        <w:r w:rsidR="00E32C64">
          <w:rPr>
            <w:noProof/>
            <w:webHidden/>
          </w:rPr>
          <w:fldChar w:fldCharType="begin"/>
        </w:r>
        <w:r w:rsidR="00E32C64">
          <w:rPr>
            <w:noProof/>
            <w:webHidden/>
          </w:rPr>
          <w:instrText xml:space="preserve"> PAGEREF _Toc412549202 \h </w:instrText>
        </w:r>
        <w:r w:rsidR="00E32C64">
          <w:rPr>
            <w:noProof/>
            <w:webHidden/>
          </w:rPr>
        </w:r>
        <w:r w:rsidR="00E32C64">
          <w:rPr>
            <w:noProof/>
            <w:webHidden/>
          </w:rPr>
          <w:fldChar w:fldCharType="separate"/>
        </w:r>
        <w:r w:rsidR="00EE00AA">
          <w:rPr>
            <w:noProof/>
            <w:webHidden/>
          </w:rPr>
          <w:t>73</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3" w:history="1">
        <w:r w:rsidR="00E32C64" w:rsidRPr="00CA55DD">
          <w:rPr>
            <w:rStyle w:val="Hyperlink"/>
            <w:noProof/>
          </w:rPr>
          <w:t xml:space="preserve">Figure 6–8:  Hourly Event Day Load Impacts for the Typical Event Day in 2015 in a 1-in-2 Weather Year – </w:t>
        </w:r>
        <w:r w:rsidR="00E32C64" w:rsidRPr="00CA55DD">
          <w:rPr>
            <w:rStyle w:val="Hyperlink"/>
            <w:i/>
            <w:noProof/>
          </w:rPr>
          <w:t>SCE CBP DO</w:t>
        </w:r>
        <w:r w:rsidR="00E32C64">
          <w:rPr>
            <w:noProof/>
            <w:webHidden/>
          </w:rPr>
          <w:tab/>
        </w:r>
        <w:r w:rsidR="00E32C64">
          <w:rPr>
            <w:noProof/>
            <w:webHidden/>
          </w:rPr>
          <w:fldChar w:fldCharType="begin"/>
        </w:r>
        <w:r w:rsidR="00E32C64">
          <w:rPr>
            <w:noProof/>
            <w:webHidden/>
          </w:rPr>
          <w:instrText xml:space="preserve"> PAGEREF _Toc412549203 \h </w:instrText>
        </w:r>
        <w:r w:rsidR="00E32C64">
          <w:rPr>
            <w:noProof/>
            <w:webHidden/>
          </w:rPr>
        </w:r>
        <w:r w:rsidR="00E32C64">
          <w:rPr>
            <w:noProof/>
            <w:webHidden/>
          </w:rPr>
          <w:fldChar w:fldCharType="separate"/>
        </w:r>
        <w:r w:rsidR="00EE00AA">
          <w:rPr>
            <w:noProof/>
            <w:webHidden/>
          </w:rPr>
          <w:t>74</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4" w:history="1">
        <w:r w:rsidR="00E32C64" w:rsidRPr="00CA55DD">
          <w:rPr>
            <w:rStyle w:val="Hyperlink"/>
            <w:noProof/>
          </w:rPr>
          <w:t xml:space="preserve">Figure 6–9:  Load Impacts by LCA for the August 2012 Typical Day in a 1-in-2 Weather Year – </w:t>
        </w:r>
        <w:r w:rsidR="00E32C64" w:rsidRPr="00CA55DD">
          <w:rPr>
            <w:rStyle w:val="Hyperlink"/>
            <w:i/>
            <w:noProof/>
          </w:rPr>
          <w:t>CBP DO, and</w:t>
        </w:r>
        <w:r w:rsidR="00E32C64" w:rsidRPr="00CA55DD">
          <w:rPr>
            <w:rStyle w:val="Hyperlink"/>
            <w:noProof/>
          </w:rPr>
          <w:t xml:space="preserve"> </w:t>
        </w:r>
        <w:r w:rsidR="00E32C64" w:rsidRPr="00CA55DD">
          <w:rPr>
            <w:rStyle w:val="Hyperlink"/>
            <w:i/>
            <w:noProof/>
          </w:rPr>
          <w:t>AMP DA and DO</w:t>
        </w:r>
        <w:r w:rsidR="00E32C64">
          <w:rPr>
            <w:noProof/>
            <w:webHidden/>
          </w:rPr>
          <w:tab/>
        </w:r>
        <w:r w:rsidR="00E32C64">
          <w:rPr>
            <w:noProof/>
            <w:webHidden/>
          </w:rPr>
          <w:fldChar w:fldCharType="begin"/>
        </w:r>
        <w:r w:rsidR="00E32C64">
          <w:rPr>
            <w:noProof/>
            <w:webHidden/>
          </w:rPr>
          <w:instrText xml:space="preserve"> PAGEREF _Toc412549204 \h </w:instrText>
        </w:r>
        <w:r w:rsidR="00E32C64">
          <w:rPr>
            <w:noProof/>
            <w:webHidden/>
          </w:rPr>
        </w:r>
        <w:r w:rsidR="00E32C64">
          <w:rPr>
            <w:noProof/>
            <w:webHidden/>
          </w:rPr>
          <w:fldChar w:fldCharType="separate"/>
        </w:r>
        <w:r w:rsidR="00EE00AA">
          <w:rPr>
            <w:noProof/>
            <w:webHidden/>
          </w:rPr>
          <w:t>75</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5" w:history="1">
        <w:r w:rsidR="00E32C64" w:rsidRPr="00CA55DD">
          <w:rPr>
            <w:rStyle w:val="Hyperlink"/>
            <w:noProof/>
          </w:rPr>
          <w:t xml:space="preserve">Figure 6–10: Hourly Event Day Load Impacts for the Typical Event Day in 2015 in a 1-in-2 Weather Year – </w:t>
        </w:r>
        <w:r w:rsidR="00E32C64" w:rsidRPr="00CA55DD">
          <w:rPr>
            <w:rStyle w:val="Hyperlink"/>
            <w:i/>
            <w:noProof/>
          </w:rPr>
          <w:t>SCE AMP DO</w:t>
        </w:r>
        <w:r w:rsidR="00E32C64">
          <w:rPr>
            <w:noProof/>
            <w:webHidden/>
          </w:rPr>
          <w:tab/>
        </w:r>
        <w:r w:rsidR="00E32C64">
          <w:rPr>
            <w:noProof/>
            <w:webHidden/>
          </w:rPr>
          <w:fldChar w:fldCharType="begin"/>
        </w:r>
        <w:r w:rsidR="00E32C64">
          <w:rPr>
            <w:noProof/>
            <w:webHidden/>
          </w:rPr>
          <w:instrText xml:space="preserve"> PAGEREF _Toc412549205 \h </w:instrText>
        </w:r>
        <w:r w:rsidR="00E32C64">
          <w:rPr>
            <w:noProof/>
            <w:webHidden/>
          </w:rPr>
        </w:r>
        <w:r w:rsidR="00E32C64">
          <w:rPr>
            <w:noProof/>
            <w:webHidden/>
          </w:rPr>
          <w:fldChar w:fldCharType="separate"/>
        </w:r>
        <w:r w:rsidR="00EE00AA">
          <w:rPr>
            <w:noProof/>
            <w:webHidden/>
          </w:rPr>
          <w:t>76</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6" w:history="1">
        <w:r w:rsidR="00E32C64" w:rsidRPr="00CA55DD">
          <w:rPr>
            <w:rStyle w:val="Hyperlink"/>
            <w:noProof/>
          </w:rPr>
          <w:t xml:space="preserve">Figure 6–12:  Hourly Event-Day Load Impacts for the Typical Event Day in 2015 in a 1-in-2 Weather Year – </w:t>
        </w:r>
        <w:r w:rsidR="00E32C64" w:rsidRPr="00CA55DD">
          <w:rPr>
            <w:rStyle w:val="Hyperlink"/>
            <w:i/>
            <w:noProof/>
          </w:rPr>
          <w:t>SDG&amp;E CBP DA</w:t>
        </w:r>
        <w:r w:rsidR="00E32C64">
          <w:rPr>
            <w:noProof/>
            <w:webHidden/>
          </w:rPr>
          <w:tab/>
        </w:r>
        <w:r w:rsidR="00E32C64">
          <w:rPr>
            <w:noProof/>
            <w:webHidden/>
          </w:rPr>
          <w:fldChar w:fldCharType="begin"/>
        </w:r>
        <w:r w:rsidR="00E32C64">
          <w:rPr>
            <w:noProof/>
            <w:webHidden/>
          </w:rPr>
          <w:instrText xml:space="preserve"> PAGEREF _Toc412549206 \h </w:instrText>
        </w:r>
        <w:r w:rsidR="00E32C64">
          <w:rPr>
            <w:noProof/>
            <w:webHidden/>
          </w:rPr>
        </w:r>
        <w:r w:rsidR="00E32C64">
          <w:rPr>
            <w:noProof/>
            <w:webHidden/>
          </w:rPr>
          <w:fldChar w:fldCharType="separate"/>
        </w:r>
        <w:r w:rsidR="00EE00AA">
          <w:rPr>
            <w:noProof/>
            <w:webHidden/>
          </w:rPr>
          <w:t>77</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7" w:history="1">
        <w:r w:rsidR="00E32C64" w:rsidRPr="00CA55DD">
          <w:rPr>
            <w:rStyle w:val="Hyperlink"/>
            <w:noProof/>
          </w:rPr>
          <w:t xml:space="preserve">Figure 6–13: Hourly Event-Day Load Impacts for the Typical Event Day in 2015 in a 1-in-2 Weather Year – </w:t>
        </w:r>
        <w:r w:rsidR="00E32C64" w:rsidRPr="00CA55DD">
          <w:rPr>
            <w:rStyle w:val="Hyperlink"/>
            <w:i/>
            <w:noProof/>
          </w:rPr>
          <w:t>SDG&amp;E CBP DO</w:t>
        </w:r>
        <w:r w:rsidR="00E32C64">
          <w:rPr>
            <w:noProof/>
            <w:webHidden/>
          </w:rPr>
          <w:tab/>
        </w:r>
        <w:r w:rsidR="00E32C64">
          <w:rPr>
            <w:noProof/>
            <w:webHidden/>
          </w:rPr>
          <w:fldChar w:fldCharType="begin"/>
        </w:r>
        <w:r w:rsidR="00E32C64">
          <w:rPr>
            <w:noProof/>
            <w:webHidden/>
          </w:rPr>
          <w:instrText xml:space="preserve"> PAGEREF _Toc412549207 \h </w:instrText>
        </w:r>
        <w:r w:rsidR="00E32C64">
          <w:rPr>
            <w:noProof/>
            <w:webHidden/>
          </w:rPr>
        </w:r>
        <w:r w:rsidR="00E32C64">
          <w:rPr>
            <w:noProof/>
            <w:webHidden/>
          </w:rPr>
          <w:fldChar w:fldCharType="separate"/>
        </w:r>
        <w:r w:rsidR="00EE00AA">
          <w:rPr>
            <w:noProof/>
            <w:webHidden/>
          </w:rPr>
          <w:t>78</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8" w:history="1">
        <w:r w:rsidR="00E32C64" w:rsidRPr="00CA55DD">
          <w:rPr>
            <w:rStyle w:val="Hyperlink"/>
            <w:noProof/>
          </w:rPr>
          <w:t xml:space="preserve">Figure 8–1: Average Event-Hour Load Impacts by Specification, </w:t>
        </w:r>
        <w:r w:rsidR="00E32C64" w:rsidRPr="00CA55DD">
          <w:rPr>
            <w:rStyle w:val="Hyperlink"/>
            <w:i/>
            <w:noProof/>
          </w:rPr>
          <w:t>PG&amp;E AMP DO</w:t>
        </w:r>
        <w:r w:rsidR="00E32C64">
          <w:rPr>
            <w:noProof/>
            <w:webHidden/>
          </w:rPr>
          <w:tab/>
        </w:r>
        <w:r w:rsidR="00E32C64">
          <w:rPr>
            <w:noProof/>
            <w:webHidden/>
          </w:rPr>
          <w:fldChar w:fldCharType="begin"/>
        </w:r>
        <w:r w:rsidR="00E32C64">
          <w:rPr>
            <w:noProof/>
            <w:webHidden/>
          </w:rPr>
          <w:instrText xml:space="preserve"> PAGEREF _Toc412549208 \h </w:instrText>
        </w:r>
        <w:r w:rsidR="00E32C64">
          <w:rPr>
            <w:noProof/>
            <w:webHidden/>
          </w:rPr>
        </w:r>
        <w:r w:rsidR="00E32C64">
          <w:rPr>
            <w:noProof/>
            <w:webHidden/>
          </w:rPr>
          <w:fldChar w:fldCharType="separate"/>
        </w:r>
        <w:r w:rsidR="00EE00AA">
          <w:rPr>
            <w:noProof/>
            <w:webHidden/>
          </w:rPr>
          <w:t>90</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09" w:history="1">
        <w:r w:rsidR="00E32C64" w:rsidRPr="00CA55DD">
          <w:rPr>
            <w:rStyle w:val="Hyperlink"/>
            <w:noProof/>
          </w:rPr>
          <w:t xml:space="preserve">Figure 8–2: Average Event-Hour Load Impacts by Specification, </w:t>
        </w:r>
        <w:r w:rsidR="00E32C64" w:rsidRPr="00CA55DD">
          <w:rPr>
            <w:rStyle w:val="Hyperlink"/>
            <w:i/>
            <w:noProof/>
          </w:rPr>
          <w:t>PG&amp;E CBP DO</w:t>
        </w:r>
        <w:r w:rsidR="00E32C64">
          <w:rPr>
            <w:noProof/>
            <w:webHidden/>
          </w:rPr>
          <w:tab/>
        </w:r>
        <w:r w:rsidR="00E32C64">
          <w:rPr>
            <w:noProof/>
            <w:webHidden/>
          </w:rPr>
          <w:fldChar w:fldCharType="begin"/>
        </w:r>
        <w:r w:rsidR="00E32C64">
          <w:rPr>
            <w:noProof/>
            <w:webHidden/>
          </w:rPr>
          <w:instrText xml:space="preserve"> PAGEREF _Toc412549209 \h </w:instrText>
        </w:r>
        <w:r w:rsidR="00E32C64">
          <w:rPr>
            <w:noProof/>
            <w:webHidden/>
          </w:rPr>
        </w:r>
        <w:r w:rsidR="00E32C64">
          <w:rPr>
            <w:noProof/>
            <w:webHidden/>
          </w:rPr>
          <w:fldChar w:fldCharType="separate"/>
        </w:r>
        <w:r w:rsidR="00EE00AA">
          <w:rPr>
            <w:noProof/>
            <w:webHidden/>
          </w:rPr>
          <w:t>90</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10" w:history="1">
        <w:r w:rsidR="00E32C64" w:rsidRPr="00CA55DD">
          <w:rPr>
            <w:rStyle w:val="Hyperlink"/>
            <w:noProof/>
          </w:rPr>
          <w:t xml:space="preserve">Figure 8–3: Average Event-Hour Load Impacts by Specification, </w:t>
        </w:r>
        <w:r w:rsidR="00E32C64" w:rsidRPr="00CA55DD">
          <w:rPr>
            <w:rStyle w:val="Hyperlink"/>
            <w:i/>
            <w:noProof/>
          </w:rPr>
          <w:t>SCE AMP DO</w:t>
        </w:r>
        <w:r w:rsidR="00E32C64">
          <w:rPr>
            <w:noProof/>
            <w:webHidden/>
          </w:rPr>
          <w:tab/>
        </w:r>
        <w:r w:rsidR="00E32C64">
          <w:rPr>
            <w:noProof/>
            <w:webHidden/>
          </w:rPr>
          <w:fldChar w:fldCharType="begin"/>
        </w:r>
        <w:r w:rsidR="00E32C64">
          <w:rPr>
            <w:noProof/>
            <w:webHidden/>
          </w:rPr>
          <w:instrText xml:space="preserve"> PAGEREF _Toc412549210 \h </w:instrText>
        </w:r>
        <w:r w:rsidR="00E32C64">
          <w:rPr>
            <w:noProof/>
            <w:webHidden/>
          </w:rPr>
        </w:r>
        <w:r w:rsidR="00E32C64">
          <w:rPr>
            <w:noProof/>
            <w:webHidden/>
          </w:rPr>
          <w:fldChar w:fldCharType="separate"/>
        </w:r>
        <w:r w:rsidR="00EE00AA">
          <w:rPr>
            <w:noProof/>
            <w:webHidden/>
          </w:rPr>
          <w:t>91</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11" w:history="1">
        <w:r w:rsidR="00E32C64" w:rsidRPr="00CA55DD">
          <w:rPr>
            <w:rStyle w:val="Hyperlink"/>
            <w:noProof/>
          </w:rPr>
          <w:t xml:space="preserve">Figure 8–4: Average Event-Hour Load Impacts by Specification, </w:t>
        </w:r>
        <w:r w:rsidR="00E32C64" w:rsidRPr="00CA55DD">
          <w:rPr>
            <w:rStyle w:val="Hyperlink"/>
            <w:i/>
            <w:noProof/>
          </w:rPr>
          <w:t>SCE CBP DO</w:t>
        </w:r>
        <w:r w:rsidR="00E32C64">
          <w:rPr>
            <w:noProof/>
            <w:webHidden/>
          </w:rPr>
          <w:tab/>
        </w:r>
        <w:r w:rsidR="00E32C64">
          <w:rPr>
            <w:noProof/>
            <w:webHidden/>
          </w:rPr>
          <w:fldChar w:fldCharType="begin"/>
        </w:r>
        <w:r w:rsidR="00E32C64">
          <w:rPr>
            <w:noProof/>
            <w:webHidden/>
          </w:rPr>
          <w:instrText xml:space="preserve"> PAGEREF _Toc412549211 \h </w:instrText>
        </w:r>
        <w:r w:rsidR="00E32C64">
          <w:rPr>
            <w:noProof/>
            <w:webHidden/>
          </w:rPr>
        </w:r>
        <w:r w:rsidR="00E32C64">
          <w:rPr>
            <w:noProof/>
            <w:webHidden/>
          </w:rPr>
          <w:fldChar w:fldCharType="separate"/>
        </w:r>
        <w:r w:rsidR="00EE00AA">
          <w:rPr>
            <w:noProof/>
            <w:webHidden/>
          </w:rPr>
          <w:t>91</w:t>
        </w:r>
        <w:r w:rsidR="00E32C64">
          <w:rPr>
            <w:noProof/>
            <w:webHidden/>
          </w:rPr>
          <w:fldChar w:fldCharType="end"/>
        </w:r>
      </w:hyperlink>
    </w:p>
    <w:p w:rsidR="00E32C64" w:rsidRDefault="00030F3E">
      <w:pPr>
        <w:pStyle w:val="TableofFigures"/>
        <w:tabs>
          <w:tab w:val="right" w:leader="dot" w:pos="9350"/>
        </w:tabs>
        <w:rPr>
          <w:rFonts w:asciiTheme="minorHAnsi" w:eastAsiaTheme="minorEastAsia" w:hAnsiTheme="minorHAnsi" w:cstheme="minorBidi"/>
          <w:noProof/>
          <w:sz w:val="22"/>
          <w:szCs w:val="22"/>
        </w:rPr>
      </w:pPr>
      <w:hyperlink w:anchor="_Toc412549212" w:history="1">
        <w:r w:rsidR="00E32C64" w:rsidRPr="00CA55DD">
          <w:rPr>
            <w:rStyle w:val="Hyperlink"/>
            <w:noProof/>
          </w:rPr>
          <w:t xml:space="preserve">Figure 8–5: Average Event-Hour Load Impacts by Specification, </w:t>
        </w:r>
        <w:r w:rsidR="00E32C64" w:rsidRPr="00CA55DD">
          <w:rPr>
            <w:rStyle w:val="Hyperlink"/>
            <w:i/>
            <w:noProof/>
          </w:rPr>
          <w:t>SDG&amp;E CBP DO</w:t>
        </w:r>
        <w:r w:rsidR="00E32C64">
          <w:rPr>
            <w:noProof/>
            <w:webHidden/>
          </w:rPr>
          <w:tab/>
        </w:r>
        <w:r w:rsidR="00E32C64">
          <w:rPr>
            <w:noProof/>
            <w:webHidden/>
          </w:rPr>
          <w:fldChar w:fldCharType="begin"/>
        </w:r>
        <w:r w:rsidR="00E32C64">
          <w:rPr>
            <w:noProof/>
            <w:webHidden/>
          </w:rPr>
          <w:instrText xml:space="preserve"> PAGEREF _Toc412549212 \h </w:instrText>
        </w:r>
        <w:r w:rsidR="00E32C64">
          <w:rPr>
            <w:noProof/>
            <w:webHidden/>
          </w:rPr>
        </w:r>
        <w:r w:rsidR="00E32C64">
          <w:rPr>
            <w:noProof/>
            <w:webHidden/>
          </w:rPr>
          <w:fldChar w:fldCharType="separate"/>
        </w:r>
        <w:r w:rsidR="00EE00AA">
          <w:rPr>
            <w:noProof/>
            <w:webHidden/>
          </w:rPr>
          <w:t>92</w:t>
        </w:r>
        <w:r w:rsidR="00E32C64">
          <w:rPr>
            <w:noProof/>
            <w:webHidden/>
          </w:rPr>
          <w:fldChar w:fldCharType="end"/>
        </w:r>
      </w:hyperlink>
    </w:p>
    <w:p w:rsidR="00952923" w:rsidRDefault="00952923" w:rsidP="00952923">
      <w:pPr>
        <w:tabs>
          <w:tab w:val="left" w:pos="1080"/>
          <w:tab w:val="right" w:leader="dot" w:pos="9360"/>
        </w:tabs>
        <w:spacing w:afterLines="60" w:after="144" w:line="360" w:lineRule="auto"/>
        <w:ind w:left="1181" w:right="720" w:hanging="1181"/>
        <w:jc w:val="center"/>
        <w:rPr>
          <w:b/>
          <w:sz w:val="28"/>
          <w:szCs w:val="28"/>
        </w:rPr>
        <w:sectPr w:rsidR="00952923" w:rsidSect="00952923">
          <w:pgSz w:w="12240" w:h="15840"/>
          <w:pgMar w:top="1440" w:right="1440" w:bottom="1440" w:left="1440" w:header="720" w:footer="720" w:gutter="0"/>
          <w:pgNumType w:fmt="lowerRoman"/>
          <w:cols w:space="720"/>
          <w:docGrid w:linePitch="360"/>
        </w:sectPr>
      </w:pPr>
      <w:r>
        <w:rPr>
          <w:b/>
          <w:sz w:val="28"/>
          <w:szCs w:val="28"/>
        </w:rPr>
        <w:fldChar w:fldCharType="end"/>
      </w:r>
    </w:p>
    <w:p w:rsidR="00B0448F" w:rsidRDefault="00B0448F" w:rsidP="00B0448F">
      <w:pPr>
        <w:pStyle w:val="Heading1"/>
        <w:numPr>
          <w:ilvl w:val="0"/>
          <w:numId w:val="0"/>
        </w:numPr>
      </w:pPr>
      <w:bookmarkStart w:id="0" w:name="_Toc288651931"/>
      <w:bookmarkStart w:id="1" w:name="_Toc415231730"/>
      <w:r w:rsidRPr="00B0448F">
        <w:lastRenderedPageBreak/>
        <w:t>Abstract</w:t>
      </w:r>
      <w:bookmarkEnd w:id="0"/>
      <w:bookmarkEnd w:id="1"/>
    </w:p>
    <w:p w:rsidR="00174F7E" w:rsidRPr="00B0448F" w:rsidRDefault="00174F7E" w:rsidP="00174F7E">
      <w:r w:rsidRPr="00B0448F">
        <w:t>This report documents the results of a load impact evaluation of aggregator</w:t>
      </w:r>
      <w:r>
        <w:t>-based</w:t>
      </w:r>
      <w:r w:rsidRPr="00B0448F">
        <w:t xml:space="preserve"> demand response (</w:t>
      </w:r>
      <w:r>
        <w:t>“</w:t>
      </w:r>
      <w:r w:rsidRPr="00B0448F">
        <w:t>DR</w:t>
      </w:r>
      <w:r>
        <w:t>”</w:t>
      </w:r>
      <w:r w:rsidRPr="00B0448F">
        <w:t>) programs operated by the three California investor-owned utilities (IOUs), Pacific Gas and Electric (</w:t>
      </w:r>
      <w:r>
        <w:t>“</w:t>
      </w:r>
      <w:r w:rsidRPr="00B0448F">
        <w:t>PG&amp;E</w:t>
      </w:r>
      <w:r>
        <w:t>”</w:t>
      </w:r>
      <w:r w:rsidRPr="00B0448F">
        <w:t>), Southern California Edison (</w:t>
      </w:r>
      <w:r>
        <w:t>“</w:t>
      </w:r>
      <w:r w:rsidRPr="00B0448F">
        <w:t>SCE</w:t>
      </w:r>
      <w:r>
        <w:t>”</w:t>
      </w:r>
      <w:r w:rsidRPr="00B0448F">
        <w:t>), and San Diego Gas and Electric (</w:t>
      </w:r>
      <w:r>
        <w:t>“</w:t>
      </w:r>
      <w:r w:rsidRPr="00B0448F">
        <w:t>SDG&amp;E</w:t>
      </w:r>
      <w:r>
        <w:t>”</w:t>
      </w:r>
      <w:r w:rsidRPr="00B0448F">
        <w:t>) for Program Year 201</w:t>
      </w:r>
      <w:r>
        <w:t xml:space="preserve">4. </w:t>
      </w:r>
    </w:p>
    <w:p w:rsidR="00174F7E" w:rsidRDefault="00174F7E" w:rsidP="00174F7E"/>
    <w:p w:rsidR="00174F7E" w:rsidRDefault="00174F7E" w:rsidP="00174F7E">
      <w:r w:rsidRPr="00B0448F">
        <w:t>In these programs, DR aggregators contract with the IOUs and with commercial and industrial customers to act on their behalf with respect to all aspects of the DR program, including receiving notices from the utility, arranging for load reductions on event days, receiving incentive payments, and paying penalties (if warranted) to the utility</w:t>
      </w:r>
      <w:r>
        <w:t xml:space="preserve">. </w:t>
      </w:r>
      <w:r w:rsidRPr="00B0448F">
        <w:t xml:space="preserve">Each aggregator forms a </w:t>
      </w:r>
      <w:r>
        <w:t>“</w:t>
      </w:r>
      <w:r w:rsidRPr="00B0448F">
        <w:t>portfolio</w:t>
      </w:r>
      <w:r>
        <w:t>”</w:t>
      </w:r>
      <w:r w:rsidRPr="00B0448F">
        <w:t xml:space="preserve"> of individual </w:t>
      </w:r>
      <w:r w:rsidR="00595F10">
        <w:t>service accounts</w:t>
      </w:r>
      <w:r w:rsidRPr="00B0448F">
        <w:t xml:space="preserve">, whose aggregated load reductions participate as a single resource for the IOUs in the DR programs. </w:t>
      </w:r>
      <w:r>
        <w:t>D</w:t>
      </w:r>
      <w:r w:rsidRPr="00B0448F">
        <w:t xml:space="preserve">epending on their contractual arrangement with the IOU, </w:t>
      </w:r>
      <w:r>
        <w:t>a</w:t>
      </w:r>
      <w:r w:rsidRPr="00B0448F">
        <w:t xml:space="preserve">ggregators can enroll and nominate </w:t>
      </w:r>
      <w:r w:rsidR="00075250">
        <w:t>customer service account</w:t>
      </w:r>
      <w:r w:rsidRPr="00B0448F">
        <w:t>s in a mix of day-ahead (</w:t>
      </w:r>
      <w:r>
        <w:t>“</w:t>
      </w:r>
      <w:r w:rsidRPr="00B0448F">
        <w:t>DA</w:t>
      </w:r>
      <w:r>
        <w:t>”</w:t>
      </w:r>
      <w:r w:rsidRPr="00B0448F">
        <w:t>) and day-of (</w:t>
      </w:r>
      <w:r>
        <w:t>“</w:t>
      </w:r>
      <w:r w:rsidRPr="00B0448F">
        <w:t>DO</w:t>
      </w:r>
      <w:r>
        <w:t>”</w:t>
      </w:r>
      <w:r w:rsidRPr="00B0448F">
        <w:t>) triggered DR product types</w:t>
      </w:r>
      <w:r>
        <w:t xml:space="preserve">. </w:t>
      </w:r>
      <w:r w:rsidRPr="00B0448F">
        <w:t>The terms of the conditions of service can vary widely, depending on the individual contracts and tariffs negotiated between the aggregator and the IOU and customers.</w:t>
      </w:r>
    </w:p>
    <w:p w:rsidR="00EE00AA" w:rsidRPr="00B0448F" w:rsidRDefault="00EE00AA" w:rsidP="00174F7E"/>
    <w:p w:rsidR="00174F7E" w:rsidRPr="00B0448F" w:rsidRDefault="00174F7E" w:rsidP="00174F7E">
      <w:r w:rsidRPr="00B0448F">
        <w:t>The scope of this evaluation covers the state-wide Capacity Bidding Program (</w:t>
      </w:r>
      <w:r>
        <w:t>“</w:t>
      </w:r>
      <w:r w:rsidRPr="00B0448F">
        <w:t>CBP</w:t>
      </w:r>
      <w:r>
        <w:t>”</w:t>
      </w:r>
      <w:r w:rsidRPr="00B0448F">
        <w:t xml:space="preserve">), which is operated by all three IOUs, </w:t>
      </w:r>
      <w:r>
        <w:t xml:space="preserve">and </w:t>
      </w:r>
      <w:r w:rsidRPr="00B0448F">
        <w:t>PG&amp;E</w:t>
      </w:r>
      <w:r>
        <w:t>’</w:t>
      </w:r>
      <w:r w:rsidRPr="00B0448F">
        <w:t xml:space="preserve">s </w:t>
      </w:r>
      <w:r>
        <w:t xml:space="preserve">and </w:t>
      </w:r>
      <w:r w:rsidRPr="00B0448F">
        <w:t>SCE</w:t>
      </w:r>
      <w:r>
        <w:t>’</w:t>
      </w:r>
      <w:r w:rsidRPr="00B0448F">
        <w:t>s Aggregator Managed Portfolio (</w:t>
      </w:r>
      <w:r>
        <w:t>“</w:t>
      </w:r>
      <w:r w:rsidRPr="00B0448F">
        <w:t>AMP</w:t>
      </w:r>
      <w:r>
        <w:t>”</w:t>
      </w:r>
      <w:r w:rsidRPr="00B0448F">
        <w:t>)</w:t>
      </w:r>
      <w:r>
        <w:t xml:space="preserve"> programs. </w:t>
      </w:r>
    </w:p>
    <w:p w:rsidR="00174F7E" w:rsidRDefault="00174F7E" w:rsidP="00174F7E"/>
    <w:p w:rsidR="00174F7E" w:rsidRPr="00B0448F" w:rsidRDefault="00174F7E" w:rsidP="00174F7E">
      <w:r w:rsidRPr="00B0448F">
        <w:t>The primary goals of this evaluation study are the following:</w:t>
      </w:r>
    </w:p>
    <w:p w:rsidR="00174F7E" w:rsidRPr="00B0448F" w:rsidRDefault="00174F7E" w:rsidP="00174F7E">
      <w:pPr>
        <w:numPr>
          <w:ilvl w:val="0"/>
          <w:numId w:val="9"/>
        </w:numPr>
      </w:pPr>
      <w:r w:rsidRPr="00B0448F">
        <w:t xml:space="preserve">Estimate the </w:t>
      </w:r>
      <w:r w:rsidRPr="00B74B13">
        <w:rPr>
          <w:i/>
        </w:rPr>
        <w:t>ex-post</w:t>
      </w:r>
      <w:r w:rsidRPr="00B0448F">
        <w:t xml:space="preserve"> load impacts for program year 201</w:t>
      </w:r>
      <w:r>
        <w:t>4</w:t>
      </w:r>
      <w:r w:rsidRPr="00B0448F">
        <w:t xml:space="preserve">; </w:t>
      </w:r>
      <w:r>
        <w:t>and</w:t>
      </w:r>
    </w:p>
    <w:p w:rsidR="00174F7E" w:rsidRPr="00B0448F" w:rsidRDefault="00174F7E" w:rsidP="00174F7E">
      <w:pPr>
        <w:numPr>
          <w:ilvl w:val="0"/>
          <w:numId w:val="9"/>
        </w:numPr>
      </w:pPr>
      <w:r w:rsidRPr="00B0448F">
        <w:t xml:space="preserve">Estimate </w:t>
      </w:r>
      <w:r w:rsidRPr="008C104B">
        <w:rPr>
          <w:i/>
        </w:rPr>
        <w:t>ex-ante</w:t>
      </w:r>
      <w:r w:rsidRPr="00B0448F">
        <w:t xml:space="preserve"> load impacts for the programs for years 201</w:t>
      </w:r>
      <w:r>
        <w:t>5</w:t>
      </w:r>
      <w:r w:rsidRPr="00B0448F">
        <w:t xml:space="preserve"> through 202</w:t>
      </w:r>
      <w:r>
        <w:t>5.</w:t>
      </w:r>
    </w:p>
    <w:p w:rsidR="00174F7E" w:rsidRPr="00B0448F" w:rsidRDefault="00174F7E" w:rsidP="00174F7E"/>
    <w:p w:rsidR="00174F7E" w:rsidRDefault="00174F7E" w:rsidP="00174F7E">
      <w:r>
        <w:t xml:space="preserve">Nominated customer </w:t>
      </w:r>
      <w:r w:rsidR="00EC0DC4">
        <w:t xml:space="preserve">service </w:t>
      </w:r>
      <w:r>
        <w:t xml:space="preserve">accounts </w:t>
      </w:r>
      <w:r w:rsidRPr="0068100F">
        <w:t>in the day-of versions of all of the programs exceeded th</w:t>
      </w:r>
      <w:r>
        <w:t>ose</w:t>
      </w:r>
      <w:r w:rsidRPr="0068100F">
        <w:t xml:space="preserve"> in the day-ahead versions, and </w:t>
      </w:r>
      <w:r>
        <w:t xml:space="preserve">were </w:t>
      </w:r>
      <w:r w:rsidRPr="00224CDE">
        <w:t xml:space="preserve">generally higher </w:t>
      </w:r>
      <w:r w:rsidR="00EC0DC4">
        <w:t>for</w:t>
      </w:r>
      <w:r w:rsidRPr="00224CDE">
        <w:t xml:space="preserve"> AMP than for CBP. Numbers of nominated customer</w:t>
      </w:r>
      <w:r w:rsidR="00EC0DC4">
        <w:t xml:space="preserve"> service account</w:t>
      </w:r>
      <w:r w:rsidRPr="00224CDE">
        <w:t>s</w:t>
      </w:r>
      <w:r w:rsidR="00EC0DC4">
        <w:rPr>
          <w:rStyle w:val="FootnoteReference"/>
        </w:rPr>
        <w:footnoteReference w:id="1"/>
      </w:r>
      <w:r w:rsidRPr="00224CDE">
        <w:t xml:space="preserve"> ranged from less than 100 </w:t>
      </w:r>
      <w:r w:rsidR="00595F10">
        <w:t>service accounts</w:t>
      </w:r>
      <w:r w:rsidRPr="00224CDE">
        <w:t xml:space="preserve"> for some product types, to nearly 1,400 for PG&amp;E’s AMP DO. A major change in 2014 involved the transfer of one SCE AMP DO </w:t>
      </w:r>
      <w:r w:rsidR="00595F10">
        <w:t xml:space="preserve">portfolio </w:t>
      </w:r>
      <w:r w:rsidRPr="00224CDE">
        <w:t xml:space="preserve">to CBP DO, which involved approximately 800 </w:t>
      </w:r>
      <w:r w:rsidR="00595F10">
        <w:t>service accounts</w:t>
      </w:r>
      <w:r w:rsidRPr="00224CDE">
        <w:t xml:space="preserve">. </w:t>
      </w:r>
    </w:p>
    <w:p w:rsidR="00174F7E" w:rsidRDefault="00174F7E" w:rsidP="00174F7E"/>
    <w:p w:rsidR="00174F7E" w:rsidRPr="002564BF" w:rsidRDefault="00174F7E" w:rsidP="00174F7E">
      <w:r w:rsidRPr="00224CDE">
        <w:t xml:space="preserve">The various programs and notice types were called from </w:t>
      </w:r>
      <w:r w:rsidR="00AC1A35">
        <w:t>seven</w:t>
      </w:r>
      <w:r w:rsidRPr="00224CDE">
        <w:t xml:space="preserve"> to f</w:t>
      </w:r>
      <w:r w:rsidR="00AC1A35">
        <w:t>if</w:t>
      </w:r>
      <w:r w:rsidRPr="00224CDE">
        <w:t xml:space="preserve">teen times in 2014, </w:t>
      </w:r>
      <w:r w:rsidR="00AC1A35">
        <w:t xml:space="preserve">including one SCE AMP event and several </w:t>
      </w:r>
      <w:r w:rsidRPr="00224CDE">
        <w:t xml:space="preserve">PG&amp;E </w:t>
      </w:r>
      <w:r w:rsidR="00AC1A35">
        <w:t xml:space="preserve">CBP and AMP </w:t>
      </w:r>
      <w:r w:rsidRPr="00224CDE">
        <w:t xml:space="preserve">events </w:t>
      </w:r>
      <w:r w:rsidR="00AC1A35">
        <w:t xml:space="preserve">that were called </w:t>
      </w:r>
      <w:r w:rsidRPr="00224CDE">
        <w:t>for various combinations of distribution-based geographical locations (SubLaps).</w:t>
      </w:r>
    </w:p>
    <w:p w:rsidR="00174F7E" w:rsidRPr="005333BC" w:rsidRDefault="00174F7E" w:rsidP="00174F7E">
      <w:pPr>
        <w:rPr>
          <w:highlight w:val="yellow"/>
        </w:rPr>
      </w:pPr>
    </w:p>
    <w:p w:rsidR="00174F7E" w:rsidRDefault="00174F7E" w:rsidP="00174F7E">
      <w:r w:rsidRPr="002564BF">
        <w:t xml:space="preserve">Hourly </w:t>
      </w:r>
      <w:r w:rsidRPr="002564BF">
        <w:rPr>
          <w:i/>
        </w:rPr>
        <w:t>ex-post</w:t>
      </w:r>
      <w:r w:rsidRPr="002564BF">
        <w:t xml:space="preserve"> load impacts were estimated for each program</w:t>
      </w:r>
      <w:r>
        <w:t>, notice type,</w:t>
      </w:r>
      <w:r w:rsidRPr="002564BF">
        <w:t xml:space="preserve"> and event during the summer of 201</w:t>
      </w:r>
      <w:r>
        <w:t>4</w:t>
      </w:r>
      <w:r w:rsidRPr="002564BF">
        <w:t>, using regression analysis of individual customer-level hourly load, weather, and event data. Estimated load impacts were reported for each event, for all programs and product types (</w:t>
      </w:r>
      <w:r w:rsidRPr="002564BF">
        <w:rPr>
          <w:i/>
        </w:rPr>
        <w:t>e.g.</w:t>
      </w:r>
      <w:r w:rsidRPr="002564BF">
        <w:t xml:space="preserve">, DA 1-4 hours and DO 2-6 hours). Load impacts </w:t>
      </w:r>
      <w:r w:rsidRPr="002564BF">
        <w:lastRenderedPageBreak/>
        <w:t>for the average, or typical event were also reported by industry type and CAISO local capacity area where relevant.</w:t>
      </w:r>
      <w:r>
        <w:t xml:space="preserve"> </w:t>
      </w:r>
    </w:p>
    <w:p w:rsidR="00D207ED" w:rsidRDefault="00D207ED" w:rsidP="00174F7E"/>
    <w:p w:rsidR="00D207ED" w:rsidRDefault="00D207ED" w:rsidP="00174F7E">
      <w:r>
        <w:t xml:space="preserve">Estimated </w:t>
      </w:r>
      <w:r w:rsidR="004A7BE8">
        <w:t xml:space="preserve">aggregate </w:t>
      </w:r>
      <w:r>
        <w:t xml:space="preserve">load impacts for the typical CBP DA event </w:t>
      </w:r>
      <w:r w:rsidR="004A7BE8">
        <w:t xml:space="preserve">were 4.9 MW for PG&amp;E, 9.6 MW for SCE, and 9.9 for SDG&amp;E. Load impacts for CBP with DO notice were 10.6 </w:t>
      </w:r>
      <w:r w:rsidR="00EE00AA">
        <w:t xml:space="preserve">MW </w:t>
      </w:r>
      <w:r w:rsidR="004A7BE8">
        <w:t>for PG&amp;E, 52.7 MW for SCE, and 8.8 for SDG&amp;E. T</w:t>
      </w:r>
      <w:r>
        <w:t>he value for SCE reflect</w:t>
      </w:r>
      <w:r w:rsidR="004A7BE8">
        <w:t>s</w:t>
      </w:r>
      <w:r>
        <w:t xml:space="preserve"> the transfer of an AMP DO </w:t>
      </w:r>
      <w:r w:rsidR="00595F10">
        <w:t xml:space="preserve">portfolio </w:t>
      </w:r>
      <w:r>
        <w:t>to CBP DO. The typical AMP load impacts were generally larger, with PG&amp;E’s and SCE</w:t>
      </w:r>
      <w:r w:rsidR="004A7BE8">
        <w:t>’s</w:t>
      </w:r>
      <w:r>
        <w:t xml:space="preserve"> DO products averaging 123 MW and </w:t>
      </w:r>
      <w:r w:rsidR="00A440C8">
        <w:t>9</w:t>
      </w:r>
      <w:r>
        <w:t>0 MW respectively.</w:t>
      </w:r>
      <w:r w:rsidR="004A7BE8">
        <w:rPr>
          <w:rStyle w:val="FootnoteReference"/>
        </w:rPr>
        <w:footnoteReference w:id="2"/>
      </w:r>
    </w:p>
    <w:p w:rsidR="00D207ED" w:rsidRDefault="00D207ED" w:rsidP="00174F7E"/>
    <w:p w:rsidR="00D207ED" w:rsidRPr="00947312" w:rsidRDefault="00D207ED" w:rsidP="00174F7E">
      <w:r w:rsidRPr="00D207ED">
        <w:rPr>
          <w:i/>
        </w:rPr>
        <w:t>Ex-ante</w:t>
      </w:r>
      <w:r>
        <w:t xml:space="preserve"> load impact forecasts are developed </w:t>
      </w:r>
      <w:r w:rsidR="001260F4">
        <w:t xml:space="preserve">by combining </w:t>
      </w:r>
      <w:r>
        <w:t xml:space="preserve">enrollment forecasts </w:t>
      </w:r>
      <w:r w:rsidR="001260F4">
        <w:t xml:space="preserve">provided by </w:t>
      </w:r>
      <w:r>
        <w:t>the utilities</w:t>
      </w:r>
      <w:r w:rsidR="001260F4">
        <w:t>,</w:t>
      </w:r>
      <w:r>
        <w:t xml:space="preserve"> </w:t>
      </w:r>
      <w:r w:rsidR="001260F4">
        <w:t xml:space="preserve">and per-customer load impacts generated from </w:t>
      </w:r>
      <w:r w:rsidR="00EE00AA">
        <w:t xml:space="preserve">analysis of </w:t>
      </w:r>
      <w:r w:rsidR="001260F4">
        <w:t xml:space="preserve">current and prior </w:t>
      </w:r>
      <w:r w:rsidR="001260F4" w:rsidRPr="001260F4">
        <w:rPr>
          <w:i/>
        </w:rPr>
        <w:t>ex-post</w:t>
      </w:r>
      <w:r w:rsidR="001260F4">
        <w:t xml:space="preserve"> load impact estimates. The forecast numbers of nominated </w:t>
      </w:r>
      <w:r w:rsidR="00075250">
        <w:t>customer service account</w:t>
      </w:r>
      <w:r w:rsidR="001260F4">
        <w:t xml:space="preserve">s and aggregate load impacts generally follow patterns in the current year, except in cases of major anticipated changes. These include PG&amp;E anticipating no AMP DA contracts in 2015, and SCE anticipating transfers of a number of CBP DA </w:t>
      </w:r>
      <w:r w:rsidR="00595F10">
        <w:t>service accounts</w:t>
      </w:r>
      <w:r w:rsidR="001260F4">
        <w:t xml:space="preserve"> to DO, due to </w:t>
      </w:r>
      <w:r w:rsidR="00595F10">
        <w:t>the</w:t>
      </w:r>
      <w:r w:rsidR="001260F4">
        <w:t xml:space="preserve"> number of events called during the 2014/2015 winter period.</w:t>
      </w:r>
    </w:p>
    <w:p w:rsidR="00B0448F" w:rsidRPr="00B0448F" w:rsidRDefault="00B0448F" w:rsidP="00B0448F">
      <w:pPr>
        <w:pStyle w:val="Heading1"/>
        <w:numPr>
          <w:ilvl w:val="0"/>
          <w:numId w:val="0"/>
        </w:numPr>
      </w:pPr>
      <w:r w:rsidRPr="00B0448F">
        <w:br w:type="page"/>
      </w:r>
      <w:bookmarkStart w:id="2" w:name="_Toc288651932"/>
      <w:bookmarkStart w:id="3" w:name="_Toc415231731"/>
      <w:r w:rsidRPr="00B0448F">
        <w:lastRenderedPageBreak/>
        <w:t>Executive Summary</w:t>
      </w:r>
      <w:bookmarkEnd w:id="2"/>
      <w:bookmarkEnd w:id="3"/>
      <w:r w:rsidRPr="00B0448F">
        <w:t xml:space="preserve"> </w:t>
      </w:r>
    </w:p>
    <w:p w:rsidR="00B0448F" w:rsidRPr="00B0448F" w:rsidRDefault="00B0448F" w:rsidP="00B0448F">
      <w:r w:rsidRPr="00B0448F">
        <w:t>This report documents the results of a load impact evaluation of aggregator demand response (</w:t>
      </w:r>
      <w:r w:rsidR="002961ED">
        <w:t>“</w:t>
      </w:r>
      <w:r w:rsidRPr="00B0448F">
        <w:t>DR</w:t>
      </w:r>
      <w:r w:rsidR="002961ED">
        <w:t>”</w:t>
      </w:r>
      <w:r w:rsidRPr="00B0448F">
        <w:t>) programs operated by the three California investor-owned utilities (IOUs), Pacific Gas and Electric (</w:t>
      </w:r>
      <w:r w:rsidR="002961ED">
        <w:t>“</w:t>
      </w:r>
      <w:r w:rsidRPr="00B0448F">
        <w:t>PG&amp;E</w:t>
      </w:r>
      <w:r w:rsidR="002961ED">
        <w:t>”</w:t>
      </w:r>
      <w:r w:rsidRPr="00B0448F">
        <w:t>), Southern California Edison (</w:t>
      </w:r>
      <w:r w:rsidR="002961ED">
        <w:t>“</w:t>
      </w:r>
      <w:r w:rsidRPr="00B0448F">
        <w:t>SCE</w:t>
      </w:r>
      <w:r w:rsidR="002961ED">
        <w:t>”</w:t>
      </w:r>
      <w:r w:rsidRPr="00B0448F">
        <w:t>), and San Diego Gas and Electric (</w:t>
      </w:r>
      <w:r w:rsidR="002961ED">
        <w:t>“</w:t>
      </w:r>
      <w:r w:rsidRPr="00B0448F">
        <w:t>SDG&amp;E</w:t>
      </w:r>
      <w:r w:rsidR="002961ED">
        <w:t>”</w:t>
      </w:r>
      <w:r w:rsidR="004D23E2">
        <w:t>) for Program-</w:t>
      </w:r>
      <w:r w:rsidRPr="00B0448F">
        <w:t>Year 201</w:t>
      </w:r>
      <w:r w:rsidR="008C104B">
        <w:t>4</w:t>
      </w:r>
      <w:r w:rsidRPr="00B0448F">
        <w:t xml:space="preserve">. In these programs, DR aggregators contract with the IOUs and with commercial and industrial customers to act on their behalf with respect to all aspects of the DR program, including receiving notices from the utility, arranging for load reductions on event days, receiving incentive payments, and paying penalties (if warranted) to the utility. Each aggregator forms a </w:t>
      </w:r>
      <w:r w:rsidR="002961ED">
        <w:t>“</w:t>
      </w:r>
      <w:r w:rsidRPr="00B0448F">
        <w:t>portfolio</w:t>
      </w:r>
      <w:r w:rsidR="002961ED">
        <w:t>”</w:t>
      </w:r>
      <w:r w:rsidRPr="00B0448F">
        <w:t xml:space="preserve"> of individual </w:t>
      </w:r>
      <w:r w:rsidR="00075250">
        <w:t>customer service account</w:t>
      </w:r>
      <w:r w:rsidRPr="00B0448F">
        <w:t>s, whose aggregated load reductions participate as a single resource fo</w:t>
      </w:r>
      <w:r>
        <w:t xml:space="preserve">r the IOUs in the DR programs. </w:t>
      </w:r>
      <w:r w:rsidRPr="00B0448F">
        <w:t xml:space="preserve">Aggregators, depending on their contractual arrangement with the IOU, can enroll and nominate </w:t>
      </w:r>
      <w:r w:rsidR="00075250">
        <w:t>customer service account</w:t>
      </w:r>
      <w:r w:rsidRPr="00B0448F">
        <w:t>s in a mix of day-ahead (</w:t>
      </w:r>
      <w:r w:rsidR="002961ED">
        <w:t>“</w:t>
      </w:r>
      <w:r w:rsidRPr="00B0448F">
        <w:t>DA</w:t>
      </w:r>
      <w:r w:rsidR="002961ED">
        <w:t>”</w:t>
      </w:r>
      <w:r w:rsidRPr="00B0448F">
        <w:t>) and day-of (</w:t>
      </w:r>
      <w:r w:rsidR="002961ED">
        <w:t>“</w:t>
      </w:r>
      <w:r w:rsidRPr="00B0448F">
        <w:t>DO</w:t>
      </w:r>
      <w:r w:rsidR="002961ED">
        <w:t>”</w:t>
      </w:r>
      <w:r w:rsidRPr="00B0448F">
        <w:t>) triggered DR product types. The terms of the conditions of service can vary widely, depending on the individual contracts and tariffs negotiated between the aggregator and the IOU and customers.</w:t>
      </w:r>
    </w:p>
    <w:p w:rsidR="00B0448F" w:rsidRPr="00B0448F" w:rsidRDefault="00B0448F" w:rsidP="00B0448F"/>
    <w:p w:rsidR="00B0448F" w:rsidRPr="00B0448F" w:rsidRDefault="005333BC" w:rsidP="00B0448F">
      <w:r w:rsidRPr="00B0448F">
        <w:t>The scope of this evaluation covers the state-wide Capacity Bidding Program (</w:t>
      </w:r>
      <w:r>
        <w:t>“</w:t>
      </w:r>
      <w:r w:rsidRPr="00B0448F">
        <w:t>CBP</w:t>
      </w:r>
      <w:r>
        <w:t>”</w:t>
      </w:r>
      <w:r w:rsidRPr="00B0448F">
        <w:t xml:space="preserve">), which is operated by all three IOUs, </w:t>
      </w:r>
      <w:r>
        <w:t xml:space="preserve">and </w:t>
      </w:r>
      <w:r w:rsidRPr="00B0448F">
        <w:t>PG&amp;E</w:t>
      </w:r>
      <w:r>
        <w:t>’</w:t>
      </w:r>
      <w:r w:rsidRPr="00B0448F">
        <w:t xml:space="preserve">s </w:t>
      </w:r>
      <w:r>
        <w:t xml:space="preserve">and </w:t>
      </w:r>
      <w:r w:rsidRPr="00B0448F">
        <w:t>SCE</w:t>
      </w:r>
      <w:r>
        <w:t>’</w:t>
      </w:r>
      <w:r w:rsidRPr="00B0448F">
        <w:t>s Aggregator Managed Portfolio (</w:t>
      </w:r>
      <w:r>
        <w:t>“</w:t>
      </w:r>
      <w:r w:rsidRPr="00B0448F">
        <w:t>AMP</w:t>
      </w:r>
      <w:r>
        <w:t>”</w:t>
      </w:r>
      <w:r w:rsidRPr="00B0448F">
        <w:t>)</w:t>
      </w:r>
      <w:r>
        <w:t xml:space="preserve"> programs.</w:t>
      </w:r>
    </w:p>
    <w:p w:rsidR="00B0448F" w:rsidRPr="00B0448F" w:rsidRDefault="00B0448F" w:rsidP="00B0448F"/>
    <w:p w:rsidR="00B0448F" w:rsidRPr="00B0448F" w:rsidRDefault="00B0448F" w:rsidP="00B0448F">
      <w:r w:rsidRPr="00B0448F">
        <w:t>The primary goals of this evaluation study are the following:</w:t>
      </w:r>
    </w:p>
    <w:p w:rsidR="00B0448F" w:rsidRPr="00B0448F" w:rsidRDefault="00B0448F" w:rsidP="00B0448F">
      <w:pPr>
        <w:numPr>
          <w:ilvl w:val="0"/>
          <w:numId w:val="3"/>
        </w:numPr>
      </w:pPr>
      <w:r w:rsidRPr="00B0448F">
        <w:t xml:space="preserve">Estimate the </w:t>
      </w:r>
      <w:r w:rsidR="00B74B13" w:rsidRPr="00B74B13">
        <w:rPr>
          <w:i/>
        </w:rPr>
        <w:t>ex-post</w:t>
      </w:r>
      <w:r w:rsidRPr="00B0448F">
        <w:t xml:space="preserve"> lo</w:t>
      </w:r>
      <w:r w:rsidR="00370D7D">
        <w:t>ad impacts for program year 201</w:t>
      </w:r>
      <w:r w:rsidR="008C104B">
        <w:t>4</w:t>
      </w:r>
      <w:r w:rsidRPr="00B0448F">
        <w:t xml:space="preserve">; </w:t>
      </w:r>
      <w:r w:rsidR="008C104B">
        <w:t>and</w:t>
      </w:r>
    </w:p>
    <w:p w:rsidR="00EC7F57" w:rsidRDefault="00370D7D" w:rsidP="00EC7F57">
      <w:pPr>
        <w:numPr>
          <w:ilvl w:val="0"/>
          <w:numId w:val="3"/>
        </w:numPr>
      </w:pPr>
      <w:bookmarkStart w:id="4" w:name="_Toc257697414"/>
      <w:bookmarkStart w:id="5" w:name="_Toc288651933"/>
      <w:r w:rsidRPr="00370D7D">
        <w:t xml:space="preserve">Estimate the </w:t>
      </w:r>
      <w:r w:rsidR="00B74B13" w:rsidRPr="00B74B13">
        <w:rPr>
          <w:i/>
        </w:rPr>
        <w:t>ex-ante</w:t>
      </w:r>
      <w:r w:rsidRPr="00370D7D">
        <w:t xml:space="preserve"> load impacts for 201</w:t>
      </w:r>
      <w:r w:rsidR="008C104B">
        <w:t>5</w:t>
      </w:r>
      <w:r w:rsidRPr="00370D7D">
        <w:t xml:space="preserve"> through 202</w:t>
      </w:r>
      <w:r w:rsidR="008C104B">
        <w:t>5</w:t>
      </w:r>
      <w:r w:rsidRPr="00370D7D">
        <w:t>.</w:t>
      </w:r>
    </w:p>
    <w:p w:rsidR="00B0448F" w:rsidRPr="00B0448F" w:rsidRDefault="00B0448F" w:rsidP="00B0448F">
      <w:pPr>
        <w:pStyle w:val="Heading2"/>
      </w:pPr>
      <w:bookmarkStart w:id="6" w:name="_Toc415231732"/>
      <w:r w:rsidRPr="00B0448F">
        <w:t>ES.1 Program Resources</w:t>
      </w:r>
      <w:bookmarkEnd w:id="4"/>
      <w:bookmarkEnd w:id="5"/>
      <w:bookmarkEnd w:id="6"/>
    </w:p>
    <w:p w:rsidR="00B0448F" w:rsidRPr="00B0448F" w:rsidRDefault="00B0448F" w:rsidP="00B0448F">
      <w:pPr>
        <w:pStyle w:val="Heading3"/>
      </w:pPr>
      <w:bookmarkStart w:id="7" w:name="_Toc288651934"/>
      <w:bookmarkStart w:id="8" w:name="_Toc415231733"/>
      <w:r w:rsidRPr="00B0448F">
        <w:t>C</w:t>
      </w:r>
      <w:r w:rsidR="00835008">
        <w:t>apacity Bidding Program (C</w:t>
      </w:r>
      <w:r w:rsidRPr="00B0448F">
        <w:t>BP</w:t>
      </w:r>
      <w:bookmarkEnd w:id="7"/>
      <w:r w:rsidR="00835008">
        <w:t>)</w:t>
      </w:r>
      <w:bookmarkEnd w:id="8"/>
    </w:p>
    <w:p w:rsidR="00B0448F" w:rsidRDefault="00B0448F" w:rsidP="00B0448F">
      <w:r w:rsidRPr="00B0448F">
        <w:t xml:space="preserve">The </w:t>
      </w:r>
      <w:r w:rsidR="00086C74">
        <w:t xml:space="preserve">statewide </w:t>
      </w:r>
      <w:r w:rsidR="00835008">
        <w:t>CBP program provides month-to-</w:t>
      </w:r>
      <w:r w:rsidRPr="00B0448F">
        <w:t xml:space="preserve">month </w:t>
      </w:r>
      <w:r w:rsidRPr="00835008">
        <w:rPr>
          <w:i/>
        </w:rPr>
        <w:t>capacity</w:t>
      </w:r>
      <w:r w:rsidRPr="00B0448F">
        <w:t xml:space="preserve"> payments ($/kW) to aggregators based on the</w:t>
      </w:r>
      <w:r w:rsidR="004D23E2">
        <w:t>ir</w:t>
      </w:r>
      <w:r w:rsidRPr="00B0448F">
        <w:t xml:space="preserve"> nominated kW load, the specific operating month</w:t>
      </w:r>
      <w:r w:rsidR="00835008">
        <w:t>,</w:t>
      </w:r>
      <w:r w:rsidRPr="00B0448F">
        <w:t xml:space="preserve"> and </w:t>
      </w:r>
      <w:r>
        <w:t xml:space="preserve">the </w:t>
      </w:r>
      <w:r w:rsidR="004D23E2">
        <w:t>notice</w:t>
      </w:r>
      <w:r w:rsidRPr="00B0448F">
        <w:t xml:space="preserve"> option (DA or DO). Additional </w:t>
      </w:r>
      <w:r w:rsidRPr="00835008">
        <w:rPr>
          <w:i/>
        </w:rPr>
        <w:t>energy</w:t>
      </w:r>
      <w:r w:rsidRPr="00B0448F">
        <w:t xml:space="preserve"> payments ($/kWh) are made to bundled customers based on the measured kWh reductions (relative to the program baseline) that are achieved when an eve</w:t>
      </w:r>
      <w:r>
        <w:t xml:space="preserve">nt is called. </w:t>
      </w:r>
      <w:r w:rsidRPr="00B0448F">
        <w:t>The monthly capacity payments can be adjusted by the actual kWh reductions during an event, and capacity penalties apply if events are called in a month and measured load reductions fall below 50</w:t>
      </w:r>
      <w:r>
        <w:t xml:space="preserve"> percent of nominated amounts. </w:t>
      </w:r>
      <w:r w:rsidRPr="00B0448F">
        <w:t>If no events are called, the aggregator receives the monthly capacity payment in accordance with their nomination, but no energy payments</w:t>
      </w:r>
      <w:r w:rsidR="002961ED">
        <w:t xml:space="preserve">. </w:t>
      </w:r>
    </w:p>
    <w:p w:rsidR="00B0448F" w:rsidRDefault="00B0448F" w:rsidP="00B0448F"/>
    <w:p w:rsidR="00B0448F" w:rsidRDefault="00B0448F" w:rsidP="00B0448F">
      <w:r>
        <w:t>Participating aggregator</w:t>
      </w:r>
      <w:r w:rsidRPr="00B0448F">
        <w:t>s may adjust their nomination each month, as well as their choice of available event type and event window options (</w:t>
      </w:r>
      <w:r w:rsidR="00ED0F45" w:rsidRPr="00ED0F45">
        <w:rPr>
          <w:i/>
        </w:rPr>
        <w:t>e.g.</w:t>
      </w:r>
      <w:r w:rsidRPr="00B0448F">
        <w:t>, DA or DO events, and 1-to-4</w:t>
      </w:r>
      <w:r w:rsidR="000C48B7">
        <w:t>,</w:t>
      </w:r>
      <w:r w:rsidR="00790B5A">
        <w:t xml:space="preserve"> </w:t>
      </w:r>
      <w:r w:rsidRPr="00B0448F">
        <w:t>2-to-6</w:t>
      </w:r>
      <w:r w:rsidR="000C48B7">
        <w:t>, or 4-to-8</w:t>
      </w:r>
      <w:r w:rsidR="00790B5A">
        <w:t xml:space="preserve"> </w:t>
      </w:r>
      <w:r w:rsidRPr="00B0448F">
        <w:t>hour maximum event duration</w:t>
      </w:r>
      <w:r>
        <w:t xml:space="preserve">s). </w:t>
      </w:r>
      <w:r w:rsidR="00362E25">
        <w:t xml:space="preserve">For PG&amp;E and SDG&amp;E, </w:t>
      </w:r>
      <w:r w:rsidRPr="00B0448F">
        <w:t>CBP events may be called on non-holiday weekdays in the months of May through October, between the hours of 11 a.m. and 7 p.m., with a maximum of t</w:t>
      </w:r>
      <w:r w:rsidR="00244AC7">
        <w:t>hirty</w:t>
      </w:r>
      <w:r w:rsidRPr="00B0448F">
        <w:t xml:space="preserve"> event hours per </w:t>
      </w:r>
      <w:r w:rsidRPr="00B0448F">
        <w:lastRenderedPageBreak/>
        <w:t>month</w:t>
      </w:r>
      <w:r w:rsidR="00362E25">
        <w:t xml:space="preserve"> for PG&amp;E, and 44 event hours per month for SDG&amp;E</w:t>
      </w:r>
      <w:r w:rsidRPr="00B0448F">
        <w:t>.</w:t>
      </w:r>
      <w:r w:rsidR="00362E25">
        <w:t xml:space="preserve"> For SCE, CBP events may be called </w:t>
      </w:r>
      <w:r w:rsidR="00846970">
        <w:t xml:space="preserve">during the above hours </w:t>
      </w:r>
      <w:r w:rsidR="00362E25">
        <w:t>on any non-holiday weekday of the year.</w:t>
      </w:r>
    </w:p>
    <w:p w:rsidR="00370D7D" w:rsidRDefault="00370D7D" w:rsidP="00B0448F"/>
    <w:p w:rsidR="00370D7D" w:rsidRDefault="00370D7D" w:rsidP="00B0448F">
      <w:r w:rsidRPr="00370D7D">
        <w:t>Customers enrolled in CBP may participate in another DR program, so long as it is an energy-payment program and</w:t>
      </w:r>
      <w:r w:rsidR="00835008">
        <w:t xml:space="preserve"> does not have the same advance</w:t>
      </w:r>
      <w:r w:rsidRPr="00370D7D">
        <w:t xml:space="preserve"> notificati</w:t>
      </w:r>
      <w:r>
        <w:t>on (</w:t>
      </w:r>
      <w:r w:rsidR="00ED0F45" w:rsidRPr="00ED0F45">
        <w:rPr>
          <w:i/>
        </w:rPr>
        <w:t>i.e.</w:t>
      </w:r>
      <w:r>
        <w:t>, day-ahead or day-of).</w:t>
      </w:r>
    </w:p>
    <w:p w:rsidR="005333BC" w:rsidRDefault="00835008" w:rsidP="00835008">
      <w:pPr>
        <w:pStyle w:val="Heading3"/>
      </w:pPr>
      <w:bookmarkStart w:id="9" w:name="_Toc415231734"/>
      <w:r>
        <w:t>Aggregator Managed Portfolio (AMP)</w:t>
      </w:r>
      <w:bookmarkEnd w:id="9"/>
    </w:p>
    <w:p w:rsidR="005333BC" w:rsidRPr="00B0448F" w:rsidRDefault="005333BC" w:rsidP="00B0448F">
      <w:r>
        <w:t>Under AMP, third-party aggregators enter bilateral contracts with PG&amp;E and/or SCE, and may create their own aggregated DR program by which participating customers achieve load reductions.</w:t>
      </w:r>
    </w:p>
    <w:p w:rsidR="00835008" w:rsidRDefault="00835008" w:rsidP="005333BC"/>
    <w:p w:rsidR="005333BC" w:rsidRPr="0005519E" w:rsidRDefault="005333BC" w:rsidP="005333BC">
      <w:r>
        <w:t>PG&amp;E has contracts with f</w:t>
      </w:r>
      <w:r w:rsidR="006A2436">
        <w:t>ive</w:t>
      </w:r>
      <w:r>
        <w:t xml:space="preserve"> aggregators</w:t>
      </w:r>
      <w:r w:rsidR="00244AC7">
        <w:t xml:space="preserve"> (accounting for one DA and four DO contracts)</w:t>
      </w:r>
      <w:r>
        <w:t xml:space="preserve">, which include </w:t>
      </w:r>
      <w:r w:rsidR="00C31808">
        <w:t>near</w:t>
      </w:r>
      <w:r>
        <w:t>ly 1,</w:t>
      </w:r>
      <w:r w:rsidR="00E04614">
        <w:t>9</w:t>
      </w:r>
      <w:r>
        <w:t xml:space="preserve">00 </w:t>
      </w:r>
      <w:r w:rsidR="00244AC7">
        <w:t xml:space="preserve">nominated </w:t>
      </w:r>
      <w:r>
        <w:t>service accounts</w:t>
      </w:r>
      <w:r w:rsidR="00244AC7">
        <w:t xml:space="preserve"> for the average event</w:t>
      </w:r>
      <w:r>
        <w:t xml:space="preserve">, representing </w:t>
      </w:r>
      <w:r w:rsidR="006A2436">
        <w:t xml:space="preserve">nominated </w:t>
      </w:r>
      <w:r>
        <w:t>load reduction capacity of approximately 2</w:t>
      </w:r>
      <w:r w:rsidR="00E04614">
        <w:t>35</w:t>
      </w:r>
      <w:r>
        <w:t xml:space="preserve"> MW. Up to </w:t>
      </w:r>
      <w:r w:rsidR="001F3C97">
        <w:t>8</w:t>
      </w:r>
      <w:r>
        <w:t xml:space="preserve">0 hours of events may be called each year, </w:t>
      </w:r>
      <w:r w:rsidRPr="0005519E">
        <w:t>including test events</w:t>
      </w:r>
      <w:r>
        <w:t xml:space="preserve">, during the hours of 11 a.m. and 7 p.m. </w:t>
      </w:r>
      <w:r w:rsidRPr="0005519E">
        <w:t xml:space="preserve">AMP events may be triggered </w:t>
      </w:r>
      <w:r w:rsidR="00D0097D">
        <w:t xml:space="preserve">when </w:t>
      </w:r>
      <w:r w:rsidR="00382163">
        <w:t>the IOU</w:t>
      </w:r>
      <w:r w:rsidR="00D0097D">
        <w:t xml:space="preserve"> expects the dispatch of electric supply resources with implied heat rates of 15,000 BTU/kWh or greater, and/or </w:t>
      </w:r>
      <w:r w:rsidR="00382163">
        <w:t>the IOU</w:t>
      </w:r>
      <w:r w:rsidR="00D0097D">
        <w:t>, in its sole discretion, anticipates conditions or situations that may adversely impact the electric system</w:t>
      </w:r>
      <w:r>
        <w:t xml:space="preserve">. </w:t>
      </w:r>
      <w:r w:rsidR="00075250">
        <w:t>Customer service account</w:t>
      </w:r>
      <w:r>
        <w:t xml:space="preserve">s who participate in AMP with </w:t>
      </w:r>
      <w:r w:rsidRPr="004C2E26">
        <w:rPr>
          <w:i/>
        </w:rPr>
        <w:t>day-ahead</w:t>
      </w:r>
      <w:r>
        <w:t xml:space="preserve"> notice are allowed to dually enroll in PG&amp;E’s Optional Binding Mandatory Curtailment program, while AMP </w:t>
      </w:r>
      <w:r w:rsidR="00075250">
        <w:t>customer service account</w:t>
      </w:r>
      <w:r>
        <w:t xml:space="preserve">s who select </w:t>
      </w:r>
      <w:r w:rsidRPr="007C29EF">
        <w:rPr>
          <w:i/>
        </w:rPr>
        <w:t>day-of</w:t>
      </w:r>
      <w:r>
        <w:t xml:space="preserve"> notification may also participate in DBP or Peak Day Pricing (PDP). The settlement baselines are based on the aggregate 10-in-10 method</w:t>
      </w:r>
      <w:r w:rsidR="00EA2E3E">
        <w:t>, with optional day-of adjustments</w:t>
      </w:r>
      <w:r>
        <w:t>.</w:t>
      </w:r>
    </w:p>
    <w:p w:rsidR="001F3C97" w:rsidRDefault="001F3C97" w:rsidP="005333BC"/>
    <w:p w:rsidR="00B0448F" w:rsidRPr="00B0448F" w:rsidRDefault="00AC1A35" w:rsidP="005333BC">
      <w:r>
        <w:t xml:space="preserve">SCE had five AMP contracts in 2014, only two of which were active. Of the active group, both offered day-of notice, but with different event windows (1 to 4, or 1 to 6 Hours). However, one of the active contracts, for DO 1-4 Hours, had its entire portfolio transferred to CBP at the end of June. </w:t>
      </w:r>
      <w:r w:rsidR="004E78A6">
        <w:t>The remaining contract included approximately 9</w:t>
      </w:r>
      <w:r w:rsidR="00C31808">
        <w:t>00</w:t>
      </w:r>
      <w:r w:rsidR="005333BC">
        <w:t xml:space="preserve"> customer service accounts, with a DR resource capacity of nearly </w:t>
      </w:r>
      <w:r w:rsidR="004E78A6">
        <w:t>115</w:t>
      </w:r>
      <w:r w:rsidR="005333BC">
        <w:t xml:space="preserve"> MW. Customers participating in SCE’s AMP may dually enroll in some other DR programs, depending on type of notification. DA customers may enroll in SCE’s Optional Binding Mandatory Curtailment (OBMC) and Real-Time Pricing (RTP) programs, while DO customers may participate in OBMC, RTP, DBP, and Summer Advantage Incentive (Critical Peak Pricing). Settlement baselines are based on individual 10-in-10 baselines, with an optional day-of adjustment of up to 40 percent.</w:t>
      </w:r>
    </w:p>
    <w:p w:rsidR="00B0448F" w:rsidRPr="00B0448F" w:rsidRDefault="00B0448F" w:rsidP="007532B6">
      <w:pPr>
        <w:pStyle w:val="Heading3"/>
      </w:pPr>
      <w:bookmarkStart w:id="10" w:name="_Toc257697418"/>
      <w:bookmarkStart w:id="11" w:name="_Toc288651938"/>
      <w:bookmarkStart w:id="12" w:name="_Toc415231735"/>
      <w:r w:rsidRPr="00F35585">
        <w:t xml:space="preserve">Program </w:t>
      </w:r>
      <w:bookmarkEnd w:id="10"/>
      <w:bookmarkEnd w:id="11"/>
      <w:r w:rsidR="00033EF3">
        <w:t>enrollment/</w:t>
      </w:r>
      <w:r w:rsidR="00790B5A" w:rsidRPr="00F35585">
        <w:t>nominations</w:t>
      </w:r>
      <w:bookmarkEnd w:id="12"/>
    </w:p>
    <w:p w:rsidR="00B0448F" w:rsidRPr="00B0448F" w:rsidRDefault="007F5DE5" w:rsidP="00B0448F">
      <w:r>
        <w:t>Table</w:t>
      </w:r>
      <w:r w:rsidR="00B0448F" w:rsidRPr="00B0448F">
        <w:t xml:space="preserve"> ES–1</w:t>
      </w:r>
      <w:r w:rsidR="00EC7F57">
        <w:t xml:space="preserve"> </w:t>
      </w:r>
      <w:r w:rsidR="00B0448F" w:rsidRPr="00B0448F">
        <w:t>summarize</w:t>
      </w:r>
      <w:r w:rsidR="00EC7F57">
        <w:t>s</w:t>
      </w:r>
      <w:r w:rsidR="00B0448F" w:rsidRPr="00B0448F">
        <w:t xml:space="preserve"> </w:t>
      </w:r>
      <w:r w:rsidR="00EC7F57">
        <w:t xml:space="preserve">the numbers of </w:t>
      </w:r>
      <w:r w:rsidR="00595F10">
        <w:t>service accounts</w:t>
      </w:r>
      <w:r w:rsidR="00EC7F57">
        <w:t xml:space="preserve"> nominated for</w:t>
      </w:r>
      <w:r w:rsidR="00B0448F" w:rsidRPr="00B0448F">
        <w:t xml:space="preserve"> the DA and DO </w:t>
      </w:r>
      <w:r w:rsidR="00EC7F57">
        <w:t>notice</w:t>
      </w:r>
      <w:r w:rsidR="00B0448F" w:rsidRPr="00B0448F">
        <w:t xml:space="preserve"> types across all aggregator programs at the three utilities</w:t>
      </w:r>
      <w:r w:rsidR="00EC7F57">
        <w:t xml:space="preserve"> in </w:t>
      </w:r>
      <w:r w:rsidR="007A67BB">
        <w:t>2014</w:t>
      </w:r>
      <w:r w:rsidR="00F573CF">
        <w:t xml:space="preserve">, where the values represent the number of nominated </w:t>
      </w:r>
      <w:r w:rsidR="00075250">
        <w:t>customer service account</w:t>
      </w:r>
      <w:r w:rsidR="00F573CF">
        <w:t>s for the average</w:t>
      </w:r>
      <w:r w:rsidR="001E119E">
        <w:t xml:space="preserve"> of</w:t>
      </w:r>
      <w:r w:rsidR="00F573CF">
        <w:t xml:space="preserve"> typical event</w:t>
      </w:r>
      <w:r w:rsidR="001E119E">
        <w:t>s</w:t>
      </w:r>
      <w:r w:rsidR="00033EF3">
        <w:t xml:space="preserve">, and thus do not necessarily equal the number nominated in any </w:t>
      </w:r>
      <w:r w:rsidR="00033EF3">
        <w:lastRenderedPageBreak/>
        <w:t>particular month</w:t>
      </w:r>
      <w:r w:rsidR="00C6517D">
        <w:t xml:space="preserve"> or for any particular event</w:t>
      </w:r>
      <w:r w:rsidR="00B0448F" w:rsidRPr="00B0448F">
        <w:t xml:space="preserve">. </w:t>
      </w:r>
      <w:r w:rsidR="001E119E">
        <w:t xml:space="preserve">Generally, more </w:t>
      </w:r>
      <w:r w:rsidR="00595F10">
        <w:t>service accounts</w:t>
      </w:r>
      <w:r w:rsidR="001E119E" w:rsidRPr="00B0448F">
        <w:t xml:space="preserve"> </w:t>
      </w:r>
      <w:r w:rsidR="001E119E">
        <w:t xml:space="preserve">are nominated for </w:t>
      </w:r>
      <w:r w:rsidR="00B0448F" w:rsidRPr="00B0448F">
        <w:t>DO product type</w:t>
      </w:r>
      <w:r w:rsidR="001E119E">
        <w:t>s</w:t>
      </w:r>
      <w:r w:rsidR="00B0448F" w:rsidRPr="00B0448F">
        <w:t xml:space="preserve"> than </w:t>
      </w:r>
      <w:r w:rsidR="001E119E">
        <w:t xml:space="preserve">for </w:t>
      </w:r>
      <w:r w:rsidR="00B0448F" w:rsidRPr="00B0448F">
        <w:t>DA product type</w:t>
      </w:r>
      <w:r w:rsidR="001E119E">
        <w:t>s</w:t>
      </w:r>
      <w:r w:rsidR="00B0448F" w:rsidRPr="00B0448F">
        <w:t>.</w:t>
      </w:r>
      <w:r w:rsidR="002C5450">
        <w:rPr>
          <w:rStyle w:val="FootnoteReference"/>
        </w:rPr>
        <w:footnoteReference w:id="3"/>
      </w:r>
      <w:r w:rsidR="007532B6">
        <w:t xml:space="preserve"> </w:t>
      </w:r>
    </w:p>
    <w:p w:rsidR="00B0448F" w:rsidRPr="00B0448F" w:rsidRDefault="00B0448F" w:rsidP="00B0448F">
      <w:bookmarkStart w:id="13" w:name="_Toc223232986"/>
    </w:p>
    <w:p w:rsidR="00B0448F" w:rsidRPr="007532B6" w:rsidRDefault="00BB67F0" w:rsidP="00933DAC">
      <w:pPr>
        <w:pStyle w:val="TableCaption"/>
      </w:pPr>
      <w:bookmarkStart w:id="14" w:name="_Toc288466621"/>
      <w:bookmarkStart w:id="15" w:name="_Toc414545876"/>
      <w:r>
        <w:t xml:space="preserve">Table ES–1: </w:t>
      </w:r>
      <w:r w:rsidR="00EC7F57">
        <w:t xml:space="preserve">Nominated </w:t>
      </w:r>
      <w:r w:rsidR="00595F10">
        <w:t xml:space="preserve">Service </w:t>
      </w:r>
      <w:r w:rsidR="00890830">
        <w:t>A</w:t>
      </w:r>
      <w:r w:rsidR="00595F10">
        <w:t>ccounts</w:t>
      </w:r>
      <w:r w:rsidR="00EC7F57">
        <w:t xml:space="preserve"> by Utility and </w:t>
      </w:r>
      <w:r w:rsidR="00B0448F" w:rsidRPr="007532B6">
        <w:t xml:space="preserve">Program </w:t>
      </w:r>
      <w:r w:rsidR="00EC7F57">
        <w:t>Notice</w:t>
      </w:r>
      <w:bookmarkEnd w:id="13"/>
      <w:bookmarkEnd w:id="14"/>
      <w:bookmarkEnd w:id="15"/>
    </w:p>
    <w:p w:rsidR="00B0448F" w:rsidRPr="00EE161E" w:rsidRDefault="00CA5D47" w:rsidP="00EC7F57">
      <w:pPr>
        <w:jc w:val="center"/>
      </w:pPr>
      <w:r w:rsidRPr="00CA5D47">
        <w:rPr>
          <w:noProof/>
        </w:rPr>
        <w:drawing>
          <wp:inline distT="0" distB="0" distL="0" distR="0" wp14:anchorId="463C4C95" wp14:editId="1252DAE8">
            <wp:extent cx="2447925" cy="1600200"/>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925" cy="1600200"/>
                    </a:xfrm>
                    <a:prstGeom prst="rect">
                      <a:avLst/>
                    </a:prstGeom>
                    <a:noFill/>
                    <a:ln>
                      <a:noFill/>
                    </a:ln>
                  </pic:spPr>
                </pic:pic>
              </a:graphicData>
            </a:graphic>
          </wp:inline>
        </w:drawing>
      </w:r>
    </w:p>
    <w:p w:rsidR="00B0448F" w:rsidRPr="00B0448F" w:rsidRDefault="00B0448F" w:rsidP="007532B6">
      <w:pPr>
        <w:pStyle w:val="Heading2"/>
      </w:pPr>
      <w:bookmarkStart w:id="16" w:name="_Toc257697420"/>
      <w:bookmarkStart w:id="17" w:name="_Toc288651940"/>
      <w:bookmarkStart w:id="18" w:name="_Toc415231736"/>
      <w:r w:rsidRPr="00B0448F">
        <w:t>ES.</w:t>
      </w:r>
      <w:r w:rsidR="00EC7F57">
        <w:t>2</w:t>
      </w:r>
      <w:r w:rsidRPr="00B0448F">
        <w:t xml:space="preserve"> </w:t>
      </w:r>
      <w:r w:rsidR="00EC7F57">
        <w:t xml:space="preserve">Summary of </w:t>
      </w:r>
      <w:r w:rsidRPr="00B0448F">
        <w:t>Study Findings</w:t>
      </w:r>
      <w:bookmarkEnd w:id="16"/>
      <w:bookmarkEnd w:id="17"/>
      <w:bookmarkEnd w:id="18"/>
    </w:p>
    <w:p w:rsidR="00BB67F0" w:rsidRDefault="00BB67F0" w:rsidP="007532B6">
      <w:pPr>
        <w:pStyle w:val="Heading3"/>
      </w:pPr>
      <w:bookmarkStart w:id="19" w:name="_Toc415231737"/>
      <w:bookmarkStart w:id="20" w:name="_Toc257697421"/>
      <w:bookmarkStart w:id="21" w:name="_Toc288651941"/>
      <w:r>
        <w:t>Events called</w:t>
      </w:r>
      <w:bookmarkEnd w:id="19"/>
    </w:p>
    <w:p w:rsidR="00BB67F0" w:rsidRPr="002D41C7" w:rsidRDefault="002D41C7" w:rsidP="00BB67F0">
      <w:r w:rsidRPr="002D41C7">
        <w:t>Table ES</w:t>
      </w:r>
      <w:r w:rsidR="00BF6C03">
        <w:t>–</w:t>
      </w:r>
      <w:r w:rsidRPr="002D41C7">
        <w:t>2 summarizes the numbers of aggregator</w:t>
      </w:r>
      <w:r w:rsidR="00615765">
        <w:t xml:space="preserve"> program</w:t>
      </w:r>
      <w:r w:rsidRPr="002D41C7">
        <w:t xml:space="preserve"> events called in </w:t>
      </w:r>
      <w:r w:rsidR="007A67BB">
        <w:t>2014</w:t>
      </w:r>
      <w:r w:rsidRPr="002D41C7">
        <w:t xml:space="preserve">, by </w:t>
      </w:r>
      <w:r w:rsidR="0007304F">
        <w:t xml:space="preserve">utility, </w:t>
      </w:r>
      <w:r w:rsidRPr="002D41C7">
        <w:t xml:space="preserve">program and notice type. </w:t>
      </w:r>
      <w:r w:rsidR="009418EB">
        <w:t>T</w:t>
      </w:r>
      <w:r w:rsidR="00F35585">
        <w:t xml:space="preserve">he various </w:t>
      </w:r>
      <w:r w:rsidRPr="002D41C7">
        <w:t xml:space="preserve">program types were called </w:t>
      </w:r>
      <w:r w:rsidR="0007304F">
        <w:t xml:space="preserve">from </w:t>
      </w:r>
      <w:r w:rsidR="00EC0DC4">
        <w:t>seven</w:t>
      </w:r>
      <w:r w:rsidRPr="002D41C7">
        <w:t xml:space="preserve"> </w:t>
      </w:r>
      <w:r w:rsidR="0007304F">
        <w:t xml:space="preserve">to </w:t>
      </w:r>
      <w:r w:rsidR="009418EB">
        <w:t>f</w:t>
      </w:r>
      <w:r w:rsidR="00EC0DC4">
        <w:t>if</w:t>
      </w:r>
      <w:r w:rsidR="009418EB">
        <w:t>teen</w:t>
      </w:r>
      <w:r w:rsidR="0007304F">
        <w:t xml:space="preserve"> </w:t>
      </w:r>
      <w:r w:rsidRPr="002D41C7">
        <w:t>times</w:t>
      </w:r>
      <w:r w:rsidR="0007304F">
        <w:t xml:space="preserve"> during </w:t>
      </w:r>
      <w:r w:rsidR="007A67BB">
        <w:t>2014</w:t>
      </w:r>
      <w:r w:rsidRPr="002D41C7">
        <w:t>.</w:t>
      </w:r>
      <w:r w:rsidR="0007304F">
        <w:t xml:space="preserve"> </w:t>
      </w:r>
      <w:r w:rsidR="00AC1A35">
        <w:t>One of SCE’s AMP events, and several</w:t>
      </w:r>
      <w:r w:rsidR="00EC0DC4">
        <w:t xml:space="preserve"> of </w:t>
      </w:r>
      <w:r w:rsidR="00F35585">
        <w:t>PG&amp;E</w:t>
      </w:r>
      <w:r w:rsidR="00EC0DC4">
        <w:t xml:space="preserve">’s </w:t>
      </w:r>
      <w:r w:rsidR="00D40FBF">
        <w:t xml:space="preserve">CBP </w:t>
      </w:r>
      <w:r w:rsidR="00EC0DC4">
        <w:t xml:space="preserve">and </w:t>
      </w:r>
      <w:r w:rsidR="00D40FBF">
        <w:t xml:space="preserve">AMP </w:t>
      </w:r>
      <w:r w:rsidR="00382163">
        <w:t>events</w:t>
      </w:r>
      <w:r w:rsidR="00EC0DC4">
        <w:t xml:space="preserve"> were called </w:t>
      </w:r>
      <w:r w:rsidR="00F35585">
        <w:t xml:space="preserve">for </w:t>
      </w:r>
      <w:r w:rsidR="00C6517D">
        <w:t>only some SubLaps,</w:t>
      </w:r>
      <w:r w:rsidR="00F35585">
        <w:t xml:space="preserve"> </w:t>
      </w:r>
      <w:r w:rsidR="00C6517D">
        <w:t xml:space="preserve">or </w:t>
      </w:r>
      <w:r w:rsidR="00F35585">
        <w:t>geographical area</w:t>
      </w:r>
      <w:r w:rsidR="00C6517D">
        <w:t>s</w:t>
      </w:r>
      <w:r w:rsidR="00F35585">
        <w:t>.</w:t>
      </w:r>
      <w:r w:rsidRPr="002D41C7">
        <w:t xml:space="preserve"> </w:t>
      </w:r>
      <w:r w:rsidR="002C5450">
        <w:t xml:space="preserve">With the exception of a February event, all of SCE’s CBP DO events were called in July or later, after the transfer of AMP </w:t>
      </w:r>
      <w:r w:rsidR="00CA5D47">
        <w:t xml:space="preserve">DO </w:t>
      </w:r>
      <w:r w:rsidR="00AC1A35">
        <w:t>service accounts</w:t>
      </w:r>
      <w:r w:rsidR="002C5450">
        <w:t xml:space="preserve"> into the program. </w:t>
      </w:r>
    </w:p>
    <w:p w:rsidR="00BB67F0" w:rsidRDefault="00BB67F0" w:rsidP="00BB67F0"/>
    <w:p w:rsidR="00BB67F0" w:rsidRPr="007532B6" w:rsidRDefault="00BB67F0" w:rsidP="00933DAC">
      <w:pPr>
        <w:pStyle w:val="TableCaption"/>
      </w:pPr>
      <w:bookmarkStart w:id="22" w:name="_Toc414545877"/>
      <w:r w:rsidRPr="007532B6">
        <w:t>Table ES–</w:t>
      </w:r>
      <w:r>
        <w:t>2</w:t>
      </w:r>
      <w:r w:rsidRPr="007532B6">
        <w:t xml:space="preserve">: </w:t>
      </w:r>
      <w:r>
        <w:t xml:space="preserve">Aggregator </w:t>
      </w:r>
      <w:r w:rsidR="003B30DC">
        <w:t xml:space="preserve">Program </w:t>
      </w:r>
      <w:r>
        <w:t xml:space="preserve">Events Called in </w:t>
      </w:r>
      <w:r w:rsidR="007A67BB">
        <w:t>2014</w:t>
      </w:r>
      <w:bookmarkEnd w:id="22"/>
    </w:p>
    <w:tbl>
      <w:tblPr>
        <w:tblW w:w="3840" w:type="dxa"/>
        <w:jc w:val="center"/>
        <w:tblLook w:val="04A0" w:firstRow="1" w:lastRow="0" w:firstColumn="1" w:lastColumn="0" w:noHBand="0" w:noVBand="1"/>
      </w:tblPr>
      <w:tblGrid>
        <w:gridCol w:w="960"/>
        <w:gridCol w:w="960"/>
        <w:gridCol w:w="960"/>
        <w:gridCol w:w="960"/>
      </w:tblGrid>
      <w:tr w:rsidR="0007304F" w:rsidRPr="0007304F" w:rsidTr="0007304F">
        <w:trPr>
          <w:trHeight w:val="612"/>
          <w:jc w:val="center"/>
        </w:trPr>
        <w:tc>
          <w:tcPr>
            <w:tcW w:w="960" w:type="dxa"/>
            <w:tcBorders>
              <w:top w:val="single" w:sz="4" w:space="0" w:color="auto"/>
              <w:left w:val="single" w:sz="4" w:space="0" w:color="auto"/>
              <w:bottom w:val="nil"/>
              <w:right w:val="nil"/>
            </w:tcBorders>
            <w:shd w:val="clear" w:color="000000" w:fill="99CCFF"/>
            <w:noWrap/>
            <w:vAlign w:val="bottom"/>
            <w:hideMark/>
          </w:tcPr>
          <w:p w:rsidR="0007304F" w:rsidRPr="009418EB" w:rsidRDefault="0007304F" w:rsidP="0007304F">
            <w:pPr>
              <w:rPr>
                <w:sz w:val="20"/>
                <w:szCs w:val="20"/>
              </w:rPr>
            </w:pPr>
            <w:r w:rsidRPr="009418EB">
              <w:rPr>
                <w:sz w:val="20"/>
                <w:szCs w:val="20"/>
              </w:rPr>
              <w:t> </w:t>
            </w:r>
          </w:p>
        </w:tc>
        <w:tc>
          <w:tcPr>
            <w:tcW w:w="960" w:type="dxa"/>
            <w:tcBorders>
              <w:top w:val="single" w:sz="4" w:space="0" w:color="auto"/>
              <w:left w:val="single" w:sz="4" w:space="0" w:color="auto"/>
              <w:bottom w:val="nil"/>
              <w:right w:val="single" w:sz="4" w:space="0" w:color="auto"/>
            </w:tcBorders>
            <w:shd w:val="clear" w:color="000000" w:fill="99CCFF"/>
            <w:noWrap/>
            <w:vAlign w:val="bottom"/>
            <w:hideMark/>
          </w:tcPr>
          <w:p w:rsidR="0007304F" w:rsidRPr="009418EB" w:rsidRDefault="0007304F" w:rsidP="0007304F">
            <w:pPr>
              <w:rPr>
                <w:sz w:val="20"/>
                <w:szCs w:val="20"/>
              </w:rPr>
            </w:pPr>
            <w:r w:rsidRPr="009418EB">
              <w:rPr>
                <w:sz w:val="20"/>
                <w:szCs w:val="20"/>
              </w:rPr>
              <w:t> </w:t>
            </w:r>
          </w:p>
        </w:tc>
        <w:tc>
          <w:tcPr>
            <w:tcW w:w="1920" w:type="dxa"/>
            <w:gridSpan w:val="2"/>
            <w:tcBorders>
              <w:top w:val="single" w:sz="4" w:space="0" w:color="auto"/>
              <w:left w:val="nil"/>
              <w:bottom w:val="single" w:sz="4" w:space="0" w:color="auto"/>
              <w:right w:val="single" w:sz="4" w:space="0" w:color="000000"/>
            </w:tcBorders>
            <w:shd w:val="clear" w:color="000000" w:fill="99CCFF"/>
            <w:vAlign w:val="bottom"/>
            <w:hideMark/>
          </w:tcPr>
          <w:p w:rsidR="0007304F" w:rsidRPr="009418EB" w:rsidRDefault="0007304F" w:rsidP="0007304F">
            <w:pPr>
              <w:jc w:val="center"/>
              <w:rPr>
                <w:b/>
                <w:bCs/>
                <w:sz w:val="20"/>
                <w:szCs w:val="20"/>
              </w:rPr>
            </w:pPr>
            <w:r w:rsidRPr="009418EB">
              <w:rPr>
                <w:b/>
                <w:bCs/>
                <w:sz w:val="20"/>
                <w:szCs w:val="20"/>
              </w:rPr>
              <w:t>Number of Events by Notice Type</w:t>
            </w:r>
          </w:p>
        </w:tc>
      </w:tr>
      <w:tr w:rsidR="0007304F" w:rsidRPr="0007304F" w:rsidTr="0007304F">
        <w:trPr>
          <w:trHeight w:val="288"/>
          <w:jc w:val="center"/>
        </w:trPr>
        <w:tc>
          <w:tcPr>
            <w:tcW w:w="960" w:type="dxa"/>
            <w:tcBorders>
              <w:top w:val="nil"/>
              <w:left w:val="single" w:sz="4" w:space="0" w:color="auto"/>
              <w:bottom w:val="single" w:sz="4" w:space="0" w:color="auto"/>
              <w:right w:val="nil"/>
            </w:tcBorders>
            <w:shd w:val="clear" w:color="000000" w:fill="99CCFF"/>
            <w:noWrap/>
            <w:vAlign w:val="bottom"/>
            <w:hideMark/>
          </w:tcPr>
          <w:p w:rsidR="0007304F" w:rsidRPr="009418EB" w:rsidRDefault="0007304F" w:rsidP="0007304F">
            <w:pPr>
              <w:jc w:val="center"/>
              <w:rPr>
                <w:b/>
                <w:bCs/>
                <w:sz w:val="20"/>
                <w:szCs w:val="20"/>
              </w:rPr>
            </w:pPr>
            <w:r w:rsidRPr="009418EB">
              <w:rPr>
                <w:b/>
                <w:bCs/>
                <w:sz w:val="20"/>
                <w:szCs w:val="20"/>
              </w:rPr>
              <w:t>Program</w:t>
            </w:r>
          </w:p>
        </w:tc>
        <w:tc>
          <w:tcPr>
            <w:tcW w:w="960" w:type="dxa"/>
            <w:tcBorders>
              <w:top w:val="nil"/>
              <w:left w:val="single" w:sz="4" w:space="0" w:color="auto"/>
              <w:bottom w:val="single" w:sz="4" w:space="0" w:color="auto"/>
              <w:right w:val="single" w:sz="4" w:space="0" w:color="auto"/>
            </w:tcBorders>
            <w:shd w:val="clear" w:color="000000" w:fill="99CCFF"/>
            <w:noWrap/>
            <w:vAlign w:val="bottom"/>
            <w:hideMark/>
          </w:tcPr>
          <w:p w:rsidR="0007304F" w:rsidRPr="009418EB" w:rsidRDefault="0007304F" w:rsidP="0007304F">
            <w:pPr>
              <w:jc w:val="center"/>
              <w:rPr>
                <w:b/>
                <w:bCs/>
                <w:sz w:val="20"/>
                <w:szCs w:val="20"/>
              </w:rPr>
            </w:pPr>
            <w:r w:rsidRPr="009418EB">
              <w:rPr>
                <w:b/>
                <w:bCs/>
                <w:sz w:val="20"/>
                <w:szCs w:val="20"/>
              </w:rPr>
              <w:t>Utility</w:t>
            </w:r>
          </w:p>
        </w:tc>
        <w:tc>
          <w:tcPr>
            <w:tcW w:w="960" w:type="dxa"/>
            <w:tcBorders>
              <w:top w:val="nil"/>
              <w:left w:val="nil"/>
              <w:bottom w:val="single" w:sz="4" w:space="0" w:color="auto"/>
              <w:right w:val="nil"/>
            </w:tcBorders>
            <w:shd w:val="clear" w:color="000000" w:fill="99CCFF"/>
            <w:noWrap/>
            <w:vAlign w:val="bottom"/>
            <w:hideMark/>
          </w:tcPr>
          <w:p w:rsidR="0007304F" w:rsidRPr="009418EB" w:rsidRDefault="0007304F" w:rsidP="0007304F">
            <w:pPr>
              <w:jc w:val="center"/>
              <w:rPr>
                <w:b/>
                <w:bCs/>
                <w:sz w:val="20"/>
                <w:szCs w:val="20"/>
              </w:rPr>
            </w:pPr>
            <w:r w:rsidRPr="009418EB">
              <w:rPr>
                <w:b/>
                <w:bCs/>
                <w:sz w:val="20"/>
                <w:szCs w:val="20"/>
              </w:rPr>
              <w:t>DA</w:t>
            </w:r>
          </w:p>
        </w:tc>
        <w:tc>
          <w:tcPr>
            <w:tcW w:w="960" w:type="dxa"/>
            <w:tcBorders>
              <w:top w:val="nil"/>
              <w:left w:val="single" w:sz="4" w:space="0" w:color="auto"/>
              <w:bottom w:val="single" w:sz="4" w:space="0" w:color="auto"/>
              <w:right w:val="single" w:sz="4" w:space="0" w:color="auto"/>
            </w:tcBorders>
            <w:shd w:val="clear" w:color="000000" w:fill="99CCFF"/>
            <w:noWrap/>
            <w:vAlign w:val="bottom"/>
            <w:hideMark/>
          </w:tcPr>
          <w:p w:rsidR="0007304F" w:rsidRPr="009418EB" w:rsidRDefault="0007304F" w:rsidP="0007304F">
            <w:pPr>
              <w:jc w:val="center"/>
              <w:rPr>
                <w:b/>
                <w:bCs/>
                <w:sz w:val="20"/>
                <w:szCs w:val="20"/>
              </w:rPr>
            </w:pPr>
            <w:r w:rsidRPr="009418EB">
              <w:rPr>
                <w:b/>
                <w:bCs/>
                <w:sz w:val="20"/>
                <w:szCs w:val="20"/>
              </w:rPr>
              <w:t>DO</w:t>
            </w:r>
          </w:p>
        </w:tc>
      </w:tr>
      <w:tr w:rsidR="0007304F" w:rsidRPr="0007304F" w:rsidTr="0007304F">
        <w:trPr>
          <w:trHeight w:val="276"/>
          <w:jc w:val="center"/>
        </w:trPr>
        <w:tc>
          <w:tcPr>
            <w:tcW w:w="960" w:type="dxa"/>
            <w:tcBorders>
              <w:top w:val="nil"/>
              <w:left w:val="single" w:sz="4" w:space="0" w:color="auto"/>
              <w:bottom w:val="nil"/>
              <w:right w:val="nil"/>
            </w:tcBorders>
            <w:shd w:val="clear" w:color="auto" w:fill="auto"/>
            <w:noWrap/>
            <w:vAlign w:val="bottom"/>
            <w:hideMark/>
          </w:tcPr>
          <w:p w:rsidR="0007304F" w:rsidRPr="009418EB" w:rsidRDefault="0007304F" w:rsidP="0007304F">
            <w:pPr>
              <w:jc w:val="center"/>
              <w:rPr>
                <w:sz w:val="20"/>
                <w:szCs w:val="20"/>
              </w:rPr>
            </w:pPr>
            <w:r w:rsidRPr="009418EB">
              <w:rPr>
                <w:sz w:val="20"/>
                <w:szCs w:val="20"/>
              </w:rPr>
              <w:t>CBP</w:t>
            </w:r>
          </w:p>
        </w:tc>
        <w:tc>
          <w:tcPr>
            <w:tcW w:w="960" w:type="dxa"/>
            <w:tcBorders>
              <w:top w:val="nil"/>
              <w:left w:val="single" w:sz="4" w:space="0" w:color="auto"/>
              <w:bottom w:val="nil"/>
              <w:right w:val="single" w:sz="4" w:space="0" w:color="auto"/>
            </w:tcBorders>
            <w:shd w:val="clear" w:color="auto" w:fill="auto"/>
            <w:noWrap/>
            <w:vAlign w:val="bottom"/>
            <w:hideMark/>
          </w:tcPr>
          <w:p w:rsidR="0007304F" w:rsidRPr="009418EB" w:rsidRDefault="0007304F" w:rsidP="0007304F">
            <w:pPr>
              <w:rPr>
                <w:sz w:val="20"/>
                <w:szCs w:val="20"/>
              </w:rPr>
            </w:pPr>
            <w:r w:rsidRPr="009418EB">
              <w:rPr>
                <w:sz w:val="20"/>
                <w:szCs w:val="20"/>
              </w:rPr>
              <w:t>PG&amp;E</w:t>
            </w:r>
          </w:p>
        </w:tc>
        <w:tc>
          <w:tcPr>
            <w:tcW w:w="960" w:type="dxa"/>
            <w:tcBorders>
              <w:top w:val="nil"/>
              <w:left w:val="nil"/>
              <w:bottom w:val="nil"/>
              <w:right w:val="nil"/>
            </w:tcBorders>
            <w:shd w:val="clear" w:color="auto" w:fill="auto"/>
            <w:noWrap/>
            <w:vAlign w:val="bottom"/>
            <w:hideMark/>
          </w:tcPr>
          <w:p w:rsidR="0007304F" w:rsidRPr="009418EB" w:rsidRDefault="00EC0DC4" w:rsidP="00D40FBF">
            <w:pPr>
              <w:ind w:firstLineChars="100" w:firstLine="200"/>
              <w:jc w:val="center"/>
              <w:rPr>
                <w:sz w:val="20"/>
                <w:szCs w:val="20"/>
              </w:rPr>
            </w:pPr>
            <w:r>
              <w:rPr>
                <w:sz w:val="20"/>
                <w:szCs w:val="20"/>
              </w:rPr>
              <w:t>10</w:t>
            </w:r>
          </w:p>
        </w:tc>
        <w:tc>
          <w:tcPr>
            <w:tcW w:w="960" w:type="dxa"/>
            <w:tcBorders>
              <w:top w:val="nil"/>
              <w:left w:val="single" w:sz="4" w:space="0" w:color="auto"/>
              <w:bottom w:val="nil"/>
              <w:right w:val="single" w:sz="4" w:space="0" w:color="auto"/>
            </w:tcBorders>
            <w:shd w:val="clear" w:color="auto" w:fill="auto"/>
            <w:noWrap/>
            <w:vAlign w:val="bottom"/>
            <w:hideMark/>
          </w:tcPr>
          <w:p w:rsidR="0007304F" w:rsidRPr="009418EB" w:rsidRDefault="00EC0DC4" w:rsidP="00D40FBF">
            <w:pPr>
              <w:ind w:firstLineChars="100" w:firstLine="200"/>
              <w:jc w:val="center"/>
              <w:rPr>
                <w:sz w:val="20"/>
                <w:szCs w:val="20"/>
              </w:rPr>
            </w:pPr>
            <w:r>
              <w:rPr>
                <w:sz w:val="20"/>
                <w:szCs w:val="20"/>
              </w:rPr>
              <w:t>15</w:t>
            </w:r>
          </w:p>
        </w:tc>
      </w:tr>
      <w:tr w:rsidR="0007304F" w:rsidRPr="0007304F" w:rsidTr="0007304F">
        <w:trPr>
          <w:trHeight w:val="276"/>
          <w:jc w:val="center"/>
        </w:trPr>
        <w:tc>
          <w:tcPr>
            <w:tcW w:w="960" w:type="dxa"/>
            <w:tcBorders>
              <w:top w:val="nil"/>
              <w:left w:val="single" w:sz="4" w:space="0" w:color="auto"/>
              <w:bottom w:val="nil"/>
              <w:right w:val="nil"/>
            </w:tcBorders>
            <w:shd w:val="clear" w:color="auto" w:fill="auto"/>
            <w:noWrap/>
            <w:vAlign w:val="bottom"/>
            <w:hideMark/>
          </w:tcPr>
          <w:p w:rsidR="0007304F" w:rsidRPr="009418EB" w:rsidRDefault="0007304F" w:rsidP="0007304F">
            <w:pPr>
              <w:jc w:val="center"/>
              <w:rPr>
                <w:sz w:val="20"/>
                <w:szCs w:val="20"/>
              </w:rPr>
            </w:pPr>
            <w:r w:rsidRPr="009418EB">
              <w:rPr>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04F" w:rsidRPr="009418EB" w:rsidRDefault="0007304F" w:rsidP="0007304F">
            <w:pPr>
              <w:rPr>
                <w:sz w:val="20"/>
                <w:szCs w:val="20"/>
              </w:rPr>
            </w:pPr>
            <w:r w:rsidRPr="009418EB">
              <w:rPr>
                <w:sz w:val="20"/>
                <w:szCs w:val="20"/>
              </w:rPr>
              <w:t>SCE</w:t>
            </w:r>
          </w:p>
        </w:tc>
        <w:tc>
          <w:tcPr>
            <w:tcW w:w="960" w:type="dxa"/>
            <w:tcBorders>
              <w:top w:val="single" w:sz="4" w:space="0" w:color="auto"/>
              <w:left w:val="nil"/>
              <w:bottom w:val="single" w:sz="4" w:space="0" w:color="auto"/>
              <w:right w:val="nil"/>
            </w:tcBorders>
            <w:shd w:val="clear" w:color="auto" w:fill="auto"/>
            <w:noWrap/>
            <w:vAlign w:val="bottom"/>
            <w:hideMark/>
          </w:tcPr>
          <w:p w:rsidR="0007304F" w:rsidRPr="009418EB" w:rsidRDefault="009418EB" w:rsidP="002C5450">
            <w:pPr>
              <w:ind w:firstLineChars="100" w:firstLine="200"/>
              <w:jc w:val="center"/>
              <w:rPr>
                <w:sz w:val="20"/>
                <w:szCs w:val="20"/>
              </w:rPr>
            </w:pPr>
            <w:r>
              <w:rPr>
                <w:sz w:val="20"/>
                <w:szCs w:val="20"/>
              </w:rPr>
              <w:t>1</w:t>
            </w:r>
            <w:r w:rsidR="002C5450">
              <w:rPr>
                <w:sz w:val="20"/>
                <w:szCs w:val="20"/>
              </w:rPr>
              <w:t>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04F" w:rsidRPr="009418EB" w:rsidRDefault="009418EB" w:rsidP="002C5450">
            <w:pPr>
              <w:ind w:firstLineChars="100" w:firstLine="200"/>
              <w:jc w:val="center"/>
              <w:rPr>
                <w:sz w:val="20"/>
                <w:szCs w:val="20"/>
              </w:rPr>
            </w:pPr>
            <w:r>
              <w:rPr>
                <w:sz w:val="20"/>
                <w:szCs w:val="20"/>
              </w:rPr>
              <w:t>1</w:t>
            </w:r>
            <w:r w:rsidR="002C5450">
              <w:rPr>
                <w:sz w:val="20"/>
                <w:szCs w:val="20"/>
              </w:rPr>
              <w:t>4</w:t>
            </w:r>
          </w:p>
        </w:tc>
      </w:tr>
      <w:tr w:rsidR="0007304F" w:rsidRPr="0007304F" w:rsidTr="0007304F">
        <w:trPr>
          <w:trHeight w:val="276"/>
          <w:jc w:val="center"/>
        </w:trPr>
        <w:tc>
          <w:tcPr>
            <w:tcW w:w="960" w:type="dxa"/>
            <w:tcBorders>
              <w:top w:val="nil"/>
              <w:left w:val="single" w:sz="4" w:space="0" w:color="auto"/>
              <w:bottom w:val="single" w:sz="4" w:space="0" w:color="auto"/>
              <w:right w:val="nil"/>
            </w:tcBorders>
            <w:shd w:val="clear" w:color="auto" w:fill="auto"/>
            <w:noWrap/>
            <w:vAlign w:val="bottom"/>
            <w:hideMark/>
          </w:tcPr>
          <w:p w:rsidR="0007304F" w:rsidRPr="009418EB" w:rsidRDefault="0007304F" w:rsidP="0007304F">
            <w:pPr>
              <w:jc w:val="center"/>
              <w:rPr>
                <w:sz w:val="20"/>
                <w:szCs w:val="20"/>
              </w:rPr>
            </w:pPr>
            <w:r w:rsidRPr="009418EB">
              <w:rPr>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7304F" w:rsidRPr="009418EB" w:rsidRDefault="0007304F" w:rsidP="0007304F">
            <w:pPr>
              <w:rPr>
                <w:sz w:val="20"/>
                <w:szCs w:val="20"/>
              </w:rPr>
            </w:pPr>
            <w:r w:rsidRPr="009418EB">
              <w:rPr>
                <w:sz w:val="20"/>
                <w:szCs w:val="20"/>
              </w:rPr>
              <w:t>SDG&amp;E</w:t>
            </w:r>
          </w:p>
        </w:tc>
        <w:tc>
          <w:tcPr>
            <w:tcW w:w="960" w:type="dxa"/>
            <w:tcBorders>
              <w:top w:val="nil"/>
              <w:left w:val="nil"/>
              <w:bottom w:val="single" w:sz="4" w:space="0" w:color="auto"/>
              <w:right w:val="nil"/>
            </w:tcBorders>
            <w:shd w:val="clear" w:color="auto" w:fill="auto"/>
            <w:noWrap/>
            <w:vAlign w:val="bottom"/>
            <w:hideMark/>
          </w:tcPr>
          <w:p w:rsidR="0007304F" w:rsidRPr="009418EB" w:rsidRDefault="009418EB" w:rsidP="00D40FBF">
            <w:pPr>
              <w:ind w:firstLineChars="100" w:firstLine="200"/>
              <w:jc w:val="center"/>
              <w:rPr>
                <w:sz w:val="20"/>
                <w:szCs w:val="20"/>
              </w:rPr>
            </w:pPr>
            <w:r>
              <w:rPr>
                <w:sz w:val="20"/>
                <w:szCs w:val="20"/>
              </w:rPr>
              <w:t>14</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7304F" w:rsidRPr="009418EB" w:rsidRDefault="009418EB" w:rsidP="00D40FBF">
            <w:pPr>
              <w:ind w:firstLineChars="100" w:firstLine="200"/>
              <w:jc w:val="center"/>
              <w:rPr>
                <w:sz w:val="20"/>
                <w:szCs w:val="20"/>
              </w:rPr>
            </w:pPr>
            <w:r>
              <w:rPr>
                <w:sz w:val="20"/>
                <w:szCs w:val="20"/>
              </w:rPr>
              <w:t>7</w:t>
            </w:r>
          </w:p>
        </w:tc>
      </w:tr>
      <w:tr w:rsidR="0007304F" w:rsidRPr="0007304F" w:rsidTr="0007304F">
        <w:trPr>
          <w:trHeight w:val="276"/>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7304F" w:rsidRPr="009418EB" w:rsidRDefault="0007304F" w:rsidP="0007304F">
            <w:pPr>
              <w:jc w:val="center"/>
              <w:rPr>
                <w:sz w:val="20"/>
                <w:szCs w:val="20"/>
              </w:rPr>
            </w:pPr>
            <w:r w:rsidRPr="009418EB">
              <w:rPr>
                <w:sz w:val="20"/>
                <w:szCs w:val="20"/>
              </w:rPr>
              <w:t>AMP</w:t>
            </w:r>
          </w:p>
        </w:tc>
        <w:tc>
          <w:tcPr>
            <w:tcW w:w="960" w:type="dxa"/>
            <w:tcBorders>
              <w:top w:val="nil"/>
              <w:left w:val="nil"/>
              <w:bottom w:val="single" w:sz="4" w:space="0" w:color="auto"/>
              <w:right w:val="single" w:sz="4" w:space="0" w:color="auto"/>
            </w:tcBorders>
            <w:shd w:val="clear" w:color="auto" w:fill="auto"/>
            <w:noWrap/>
            <w:vAlign w:val="bottom"/>
            <w:hideMark/>
          </w:tcPr>
          <w:p w:rsidR="0007304F" w:rsidRPr="009418EB" w:rsidRDefault="0007304F" w:rsidP="0007304F">
            <w:pPr>
              <w:rPr>
                <w:sz w:val="20"/>
                <w:szCs w:val="20"/>
              </w:rPr>
            </w:pPr>
            <w:r w:rsidRPr="009418EB">
              <w:rPr>
                <w:sz w:val="20"/>
                <w:szCs w:val="20"/>
              </w:rPr>
              <w:t>PG&amp;E</w:t>
            </w:r>
          </w:p>
        </w:tc>
        <w:tc>
          <w:tcPr>
            <w:tcW w:w="960" w:type="dxa"/>
            <w:tcBorders>
              <w:top w:val="nil"/>
              <w:left w:val="nil"/>
              <w:bottom w:val="single" w:sz="4" w:space="0" w:color="auto"/>
              <w:right w:val="nil"/>
            </w:tcBorders>
            <w:shd w:val="clear" w:color="auto" w:fill="auto"/>
            <w:noWrap/>
            <w:vAlign w:val="bottom"/>
            <w:hideMark/>
          </w:tcPr>
          <w:p w:rsidR="0007304F" w:rsidRPr="009418EB" w:rsidRDefault="00EC0DC4" w:rsidP="00D40FBF">
            <w:pPr>
              <w:ind w:firstLineChars="100" w:firstLine="200"/>
              <w:jc w:val="center"/>
              <w:rPr>
                <w:sz w:val="20"/>
                <w:szCs w:val="20"/>
              </w:rPr>
            </w:pPr>
            <w:r>
              <w:rPr>
                <w:sz w:val="20"/>
                <w:szCs w:val="20"/>
              </w:rPr>
              <w:t>14</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7304F" w:rsidRPr="009418EB" w:rsidRDefault="00EC0DC4" w:rsidP="00D40FBF">
            <w:pPr>
              <w:ind w:firstLineChars="100" w:firstLine="200"/>
              <w:jc w:val="center"/>
              <w:rPr>
                <w:sz w:val="20"/>
                <w:szCs w:val="20"/>
              </w:rPr>
            </w:pPr>
            <w:r>
              <w:rPr>
                <w:sz w:val="20"/>
                <w:szCs w:val="20"/>
              </w:rPr>
              <w:t>15</w:t>
            </w:r>
          </w:p>
        </w:tc>
      </w:tr>
      <w:tr w:rsidR="0007304F" w:rsidRPr="0007304F" w:rsidTr="0007304F">
        <w:trPr>
          <w:trHeight w:val="276"/>
          <w:jc w:val="center"/>
        </w:trPr>
        <w:tc>
          <w:tcPr>
            <w:tcW w:w="960" w:type="dxa"/>
            <w:vMerge/>
            <w:tcBorders>
              <w:top w:val="nil"/>
              <w:left w:val="single" w:sz="4" w:space="0" w:color="auto"/>
              <w:bottom w:val="single" w:sz="4" w:space="0" w:color="000000"/>
              <w:right w:val="single" w:sz="4" w:space="0" w:color="auto"/>
            </w:tcBorders>
            <w:vAlign w:val="center"/>
            <w:hideMark/>
          </w:tcPr>
          <w:p w:rsidR="0007304F" w:rsidRPr="009418EB" w:rsidRDefault="0007304F" w:rsidP="0007304F">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rsidR="0007304F" w:rsidRPr="009418EB" w:rsidRDefault="0007304F" w:rsidP="0007304F">
            <w:pPr>
              <w:rPr>
                <w:sz w:val="20"/>
                <w:szCs w:val="20"/>
              </w:rPr>
            </w:pPr>
            <w:r w:rsidRPr="009418EB">
              <w:rPr>
                <w:sz w:val="20"/>
                <w:szCs w:val="20"/>
              </w:rPr>
              <w:t>SCE</w:t>
            </w:r>
          </w:p>
        </w:tc>
        <w:tc>
          <w:tcPr>
            <w:tcW w:w="960" w:type="dxa"/>
            <w:tcBorders>
              <w:top w:val="nil"/>
              <w:left w:val="nil"/>
              <w:bottom w:val="single" w:sz="4" w:space="0" w:color="auto"/>
              <w:right w:val="nil"/>
            </w:tcBorders>
            <w:shd w:val="clear" w:color="auto" w:fill="auto"/>
            <w:noWrap/>
            <w:vAlign w:val="bottom"/>
            <w:hideMark/>
          </w:tcPr>
          <w:p w:rsidR="0007304F" w:rsidRPr="009418EB" w:rsidRDefault="0007304F" w:rsidP="00D40FBF">
            <w:pPr>
              <w:ind w:firstLineChars="100" w:firstLine="200"/>
              <w:jc w:val="center"/>
              <w:rPr>
                <w:sz w:val="20"/>
                <w:szCs w:val="2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7304F" w:rsidRPr="009418EB" w:rsidRDefault="009418EB" w:rsidP="00D40FBF">
            <w:pPr>
              <w:ind w:firstLineChars="100" w:firstLine="200"/>
              <w:jc w:val="center"/>
              <w:rPr>
                <w:sz w:val="20"/>
                <w:szCs w:val="20"/>
              </w:rPr>
            </w:pPr>
            <w:r>
              <w:rPr>
                <w:sz w:val="20"/>
                <w:szCs w:val="20"/>
              </w:rPr>
              <w:t>12</w:t>
            </w:r>
          </w:p>
        </w:tc>
      </w:tr>
    </w:tbl>
    <w:p w:rsidR="00BB67F0" w:rsidRPr="00BB67F0" w:rsidRDefault="00BB67F0" w:rsidP="00BB67F0">
      <w:pPr>
        <w:jc w:val="center"/>
      </w:pPr>
    </w:p>
    <w:p w:rsidR="00B0448F" w:rsidRPr="00B0448F" w:rsidRDefault="00EC7F57" w:rsidP="007532B6">
      <w:pPr>
        <w:pStyle w:val="Heading3"/>
      </w:pPr>
      <w:bookmarkStart w:id="23" w:name="_Toc415231738"/>
      <w:r>
        <w:t>Estimated e</w:t>
      </w:r>
      <w:r w:rsidR="00B0448F" w:rsidRPr="00B0448F">
        <w:t>x-post load impacts</w:t>
      </w:r>
      <w:bookmarkEnd w:id="20"/>
      <w:bookmarkEnd w:id="21"/>
      <w:bookmarkEnd w:id="23"/>
    </w:p>
    <w:p w:rsidR="00B0448F" w:rsidRPr="00B0448F" w:rsidRDefault="00B0448F" w:rsidP="00B0448F">
      <w:r w:rsidRPr="00B0448F">
        <w:t>Table ES–</w:t>
      </w:r>
      <w:r w:rsidR="00BB67F0">
        <w:t>3</w:t>
      </w:r>
      <w:r w:rsidRPr="00B0448F">
        <w:t xml:space="preserve"> summarizes estimates of </w:t>
      </w:r>
      <w:r w:rsidR="005C7A57">
        <w:t>average event-hour</w:t>
      </w:r>
      <w:r w:rsidRPr="00B0448F">
        <w:t xml:space="preserve"> </w:t>
      </w:r>
      <w:r w:rsidR="00B74B13" w:rsidRPr="00B74B13">
        <w:rPr>
          <w:i/>
        </w:rPr>
        <w:t>ex-post</w:t>
      </w:r>
      <w:r w:rsidRPr="00B0448F">
        <w:t xml:space="preserve"> load impacts for PY </w:t>
      </w:r>
      <w:r w:rsidR="007A67BB">
        <w:t>2014</w:t>
      </w:r>
      <w:r w:rsidR="002D41C7">
        <w:t>,</w:t>
      </w:r>
      <w:r w:rsidRPr="00B0448F">
        <w:t xml:space="preserve"> </w:t>
      </w:r>
      <w:r w:rsidRPr="00B0448F">
        <w:rPr>
          <w:i/>
        </w:rPr>
        <w:t xml:space="preserve">for the </w:t>
      </w:r>
      <w:r w:rsidR="00F35585">
        <w:rPr>
          <w:i/>
        </w:rPr>
        <w:t xml:space="preserve">average of the </w:t>
      </w:r>
      <w:r w:rsidRPr="00B0448F">
        <w:rPr>
          <w:i/>
        </w:rPr>
        <w:t>typical event</w:t>
      </w:r>
      <w:r w:rsidR="00CE380C">
        <w:t xml:space="preserve"> </w:t>
      </w:r>
      <w:r w:rsidRPr="00B0448F">
        <w:t>for each of the three utilities</w:t>
      </w:r>
      <w:r w:rsidR="002961ED">
        <w:t>’</w:t>
      </w:r>
      <w:r w:rsidRPr="00B0448F">
        <w:t xml:space="preserve"> aggregator programs and </w:t>
      </w:r>
      <w:r w:rsidR="00790B5A">
        <w:t>notice</w:t>
      </w:r>
      <w:r w:rsidRPr="00B0448F">
        <w:t xml:space="preserve"> types (</w:t>
      </w:r>
      <w:r w:rsidR="00ED0F45" w:rsidRPr="00ED0F45">
        <w:rPr>
          <w:i/>
        </w:rPr>
        <w:t>e.g.</w:t>
      </w:r>
      <w:r w:rsidRPr="00B0448F">
        <w:t xml:space="preserve">, </w:t>
      </w:r>
      <w:r w:rsidRPr="00B0448F">
        <w:rPr>
          <w:i/>
        </w:rPr>
        <w:t>day-ahead</w:t>
      </w:r>
      <w:r w:rsidRPr="00B0448F">
        <w:t xml:space="preserve"> and </w:t>
      </w:r>
      <w:r w:rsidRPr="00B0448F">
        <w:rPr>
          <w:i/>
        </w:rPr>
        <w:t xml:space="preserve">day-of </w:t>
      </w:r>
      <w:r w:rsidRPr="00B0448F">
        <w:t>notice</w:t>
      </w:r>
      <w:r w:rsidR="007532B6">
        <w:t xml:space="preserve">). </w:t>
      </w:r>
      <w:r w:rsidR="00790B5A">
        <w:t xml:space="preserve">Load impacts are shown in both per-customer (kW) and aggregate (MW) levels. </w:t>
      </w:r>
      <w:r w:rsidR="00EC7F57">
        <w:t xml:space="preserve">Also shown are </w:t>
      </w:r>
      <w:r w:rsidR="00E10867">
        <w:t xml:space="preserve">average </w:t>
      </w:r>
      <w:r w:rsidR="00EC7F57">
        <w:lastRenderedPageBreak/>
        <w:t xml:space="preserve">nominated </w:t>
      </w:r>
      <w:r w:rsidR="00C77A7B">
        <w:t xml:space="preserve">resource </w:t>
      </w:r>
      <w:r w:rsidR="00EC7F57">
        <w:t xml:space="preserve">capacity </w:t>
      </w:r>
      <w:r w:rsidR="002D41C7">
        <w:t>amounts</w:t>
      </w:r>
      <w:r w:rsidR="00E10867">
        <w:t xml:space="preserve"> across the typical events</w:t>
      </w:r>
      <w:r w:rsidR="00EC7F57">
        <w:t>.</w:t>
      </w:r>
      <w:r w:rsidR="00C77A7B">
        <w:rPr>
          <w:rStyle w:val="FootnoteReference"/>
        </w:rPr>
        <w:footnoteReference w:id="4"/>
      </w:r>
      <w:r w:rsidR="00EC7F57">
        <w:t xml:space="preserve"> </w:t>
      </w:r>
      <w:r w:rsidRPr="00B0448F">
        <w:t xml:space="preserve">Estimated load impacts for the </w:t>
      </w:r>
      <w:r w:rsidR="00790B5A">
        <w:rPr>
          <w:i/>
        </w:rPr>
        <w:t xml:space="preserve">DO </w:t>
      </w:r>
      <w:r w:rsidRPr="00B0448F">
        <w:t xml:space="preserve">product types are generally greater than for </w:t>
      </w:r>
      <w:r w:rsidR="00790B5A">
        <w:rPr>
          <w:i/>
        </w:rPr>
        <w:t xml:space="preserve">DA </w:t>
      </w:r>
      <w:r w:rsidRPr="00B0448F">
        <w:t xml:space="preserve">products, which is consistent with the greater DO enrollment and total </w:t>
      </w:r>
      <w:r w:rsidR="00790B5A">
        <w:t xml:space="preserve">nominated </w:t>
      </w:r>
      <w:r w:rsidR="00E10867">
        <w:t>capacity</w:t>
      </w:r>
      <w:r w:rsidRPr="00B0448F">
        <w:t xml:space="preserve">. </w:t>
      </w:r>
    </w:p>
    <w:p w:rsidR="00B0448F" w:rsidRPr="00B0448F" w:rsidRDefault="00B0448F" w:rsidP="00B0448F"/>
    <w:p w:rsidR="00B0448F" w:rsidRPr="007532B6" w:rsidRDefault="00B0448F" w:rsidP="00BF6C03">
      <w:pPr>
        <w:pStyle w:val="TableCaption"/>
        <w:rPr>
          <w:highlight w:val="yellow"/>
        </w:rPr>
      </w:pPr>
      <w:bookmarkStart w:id="24" w:name="_Toc288466625"/>
      <w:bookmarkStart w:id="25" w:name="_Toc414545878"/>
      <w:r w:rsidRPr="007532B6">
        <w:t>Table ES–</w:t>
      </w:r>
      <w:r w:rsidR="00BB67F0">
        <w:t>3</w:t>
      </w:r>
      <w:r w:rsidRPr="007532B6">
        <w:t xml:space="preserve">: </w:t>
      </w:r>
      <w:bookmarkStart w:id="26" w:name="_Toc223232987"/>
      <w:r w:rsidR="005C7A57">
        <w:t>Average Event-Hour</w:t>
      </w:r>
      <w:r w:rsidRPr="007532B6">
        <w:t xml:space="preserve"> Load Impacts</w:t>
      </w:r>
      <w:bookmarkEnd w:id="26"/>
      <w:r w:rsidR="00F35585">
        <w:t xml:space="preserve"> </w:t>
      </w:r>
      <w:r w:rsidRPr="007532B6">
        <w:t xml:space="preserve">– </w:t>
      </w:r>
      <w:r w:rsidR="006F16F9">
        <w:t>Per-Customer and Aggregate</w:t>
      </w:r>
      <w:r w:rsidR="002F24DB">
        <w:br/>
      </w:r>
      <w:r w:rsidRPr="002F24DB">
        <w:rPr>
          <w:i/>
        </w:rPr>
        <w:t xml:space="preserve">by Utility and </w:t>
      </w:r>
      <w:r w:rsidR="00790B5A" w:rsidRPr="002F24DB">
        <w:rPr>
          <w:i/>
        </w:rPr>
        <w:t>Notice</w:t>
      </w:r>
      <w:bookmarkEnd w:id="24"/>
      <w:bookmarkEnd w:id="25"/>
    </w:p>
    <w:p w:rsidR="00B0448F" w:rsidRPr="00CE380C" w:rsidRDefault="00045984" w:rsidP="007532B6">
      <w:pPr>
        <w:jc w:val="center"/>
      </w:pPr>
      <w:r w:rsidRPr="00045984">
        <w:t xml:space="preserve"> </w:t>
      </w:r>
      <w:r w:rsidRPr="00045984">
        <w:rPr>
          <w:noProof/>
        </w:rPr>
        <w:drawing>
          <wp:inline distT="0" distB="0" distL="0" distR="0" wp14:anchorId="605BBB44" wp14:editId="3A2C1B8F">
            <wp:extent cx="488442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84420" cy="1600200"/>
                    </a:xfrm>
                    <a:prstGeom prst="rect">
                      <a:avLst/>
                    </a:prstGeom>
                    <a:noFill/>
                    <a:ln>
                      <a:noFill/>
                    </a:ln>
                  </pic:spPr>
                </pic:pic>
              </a:graphicData>
            </a:graphic>
          </wp:inline>
        </w:drawing>
      </w:r>
    </w:p>
    <w:p w:rsidR="004D23E2" w:rsidRPr="00B0448F" w:rsidRDefault="00B7010F" w:rsidP="004D23E2">
      <w:pPr>
        <w:pStyle w:val="Heading3"/>
      </w:pPr>
      <w:bookmarkStart w:id="27" w:name="_Toc415231739"/>
      <w:r>
        <w:t>E</w:t>
      </w:r>
      <w:r w:rsidR="007004A0" w:rsidRPr="007004A0">
        <w:t>x-ante</w:t>
      </w:r>
      <w:r w:rsidR="004D23E2">
        <w:t xml:space="preserve"> </w:t>
      </w:r>
      <w:r w:rsidR="004D23E2" w:rsidRPr="00B0448F">
        <w:t>load impacts</w:t>
      </w:r>
      <w:bookmarkEnd w:id="27"/>
    </w:p>
    <w:p w:rsidR="004D23E2" w:rsidRDefault="00B7010F" w:rsidP="00B0448F">
      <w:r>
        <w:t>Table ES</w:t>
      </w:r>
      <w:r w:rsidRPr="00B0448F">
        <w:t>–</w:t>
      </w:r>
      <w:r>
        <w:t xml:space="preserve">4 shows aggregate </w:t>
      </w:r>
      <w:r w:rsidRPr="008D4645">
        <w:rPr>
          <w:i/>
        </w:rPr>
        <w:t>ex-ante</w:t>
      </w:r>
      <w:r>
        <w:t xml:space="preserve"> load impact forecasts for 2015 </w:t>
      </w:r>
      <w:r w:rsidR="002D0490">
        <w:t xml:space="preserve">for an August peak </w:t>
      </w:r>
      <w:r w:rsidR="00230955">
        <w:t>day</w:t>
      </w:r>
      <w:r w:rsidR="002D0490">
        <w:t xml:space="preserve"> </w:t>
      </w:r>
      <w:r>
        <w:t>for each utility’s program, by notice and weather scenario. Since the large business customers in the aggregator-based programs are typically not highly weather sensitive, the load impacts generally do not vary greatly across weather scenarios.</w:t>
      </w:r>
      <w:r w:rsidR="00B43959">
        <w:t xml:space="preserve"> However, the values in the utility-peak scenarios are generally slightly higher than under CAISO peak conditions.</w:t>
      </w:r>
      <w:r>
        <w:t xml:space="preserve"> </w:t>
      </w:r>
    </w:p>
    <w:p w:rsidR="008E57D8" w:rsidRDefault="008E57D8" w:rsidP="004D23E2">
      <w:pPr>
        <w:pStyle w:val="TableCaption"/>
      </w:pPr>
    </w:p>
    <w:p w:rsidR="004D23E2" w:rsidRPr="007532B6" w:rsidRDefault="004D23E2" w:rsidP="004D23E2">
      <w:pPr>
        <w:pStyle w:val="TableCaption"/>
        <w:rPr>
          <w:highlight w:val="yellow"/>
        </w:rPr>
      </w:pPr>
      <w:bookmarkStart w:id="28" w:name="_Toc414545879"/>
      <w:r w:rsidRPr="007532B6">
        <w:t>Table ES–</w:t>
      </w:r>
      <w:r>
        <w:t>4</w:t>
      </w:r>
      <w:r w:rsidRPr="007532B6">
        <w:t xml:space="preserve">: </w:t>
      </w:r>
      <w:r w:rsidR="008D4645">
        <w:rPr>
          <w:i/>
        </w:rPr>
        <w:t>Ex-A</w:t>
      </w:r>
      <w:r w:rsidR="007004A0" w:rsidRPr="007004A0">
        <w:rPr>
          <w:i/>
        </w:rPr>
        <w:t>nte</w:t>
      </w:r>
      <w:r>
        <w:t xml:space="preserve"> Load Impacts</w:t>
      </w:r>
      <w:r w:rsidR="00B7010F">
        <w:t xml:space="preserve"> for </w:t>
      </w:r>
      <w:r w:rsidR="002D0490">
        <w:t xml:space="preserve">August Peak </w:t>
      </w:r>
      <w:r w:rsidR="00230955">
        <w:t xml:space="preserve">Day in </w:t>
      </w:r>
      <w:r w:rsidR="00B7010F">
        <w:t>2015 under Alternative Weather Scenarios (MW)</w:t>
      </w:r>
      <w:bookmarkEnd w:id="28"/>
    </w:p>
    <w:p w:rsidR="005333BC" w:rsidRDefault="004259DC" w:rsidP="005122DD">
      <w:pPr>
        <w:jc w:val="center"/>
      </w:pPr>
      <w:r w:rsidRPr="004259DC">
        <w:rPr>
          <w:noProof/>
        </w:rPr>
        <w:drawing>
          <wp:inline distT="0" distB="0" distL="0" distR="0" wp14:anchorId="492A2074" wp14:editId="702BE45E">
            <wp:extent cx="4274820" cy="1866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74820" cy="1866900"/>
                    </a:xfrm>
                    <a:prstGeom prst="rect">
                      <a:avLst/>
                    </a:prstGeom>
                    <a:noFill/>
                    <a:ln>
                      <a:noFill/>
                    </a:ln>
                  </pic:spPr>
                </pic:pic>
              </a:graphicData>
            </a:graphic>
          </wp:inline>
        </w:drawing>
      </w:r>
    </w:p>
    <w:p w:rsidR="00EC7F57" w:rsidRDefault="00EC7F57" w:rsidP="00B0448F"/>
    <w:p w:rsidR="00A70E54" w:rsidRDefault="00370D7D" w:rsidP="00A70E54">
      <w:pPr>
        <w:pStyle w:val="Heading1"/>
      </w:pPr>
      <w:r>
        <w:br w:type="page"/>
      </w:r>
      <w:bookmarkStart w:id="29" w:name="_Toc415231740"/>
      <w:r w:rsidR="00A70E54">
        <w:lastRenderedPageBreak/>
        <w:t xml:space="preserve">Introduction and </w:t>
      </w:r>
      <w:r w:rsidR="00FF7EC7">
        <w:t>Objectives</w:t>
      </w:r>
      <w:r w:rsidR="00A70E54">
        <w:t xml:space="preserve"> of the Study</w:t>
      </w:r>
      <w:bookmarkEnd w:id="29"/>
    </w:p>
    <w:p w:rsidR="00A70E54" w:rsidRPr="00B0448F" w:rsidRDefault="00A70E54" w:rsidP="00A70E54">
      <w:r w:rsidRPr="00B0448F">
        <w:t>This report documents the results of a load impact evaluation of aggregator demand response (</w:t>
      </w:r>
      <w:r w:rsidR="002961ED">
        <w:t>“</w:t>
      </w:r>
      <w:r w:rsidRPr="00B0448F">
        <w:t>DR</w:t>
      </w:r>
      <w:r w:rsidR="002961ED">
        <w:t>”</w:t>
      </w:r>
      <w:r w:rsidRPr="00B0448F">
        <w:t>) programs operated by the three California investor-owned utilities (IOUs), Pacific Gas and Electric (</w:t>
      </w:r>
      <w:r w:rsidR="002961ED">
        <w:t>“</w:t>
      </w:r>
      <w:r w:rsidRPr="00B0448F">
        <w:t>PG&amp;E</w:t>
      </w:r>
      <w:r w:rsidR="002961ED">
        <w:t>”</w:t>
      </w:r>
      <w:r w:rsidRPr="00B0448F">
        <w:t>), Southern California Edison (</w:t>
      </w:r>
      <w:r w:rsidR="002961ED">
        <w:t>“</w:t>
      </w:r>
      <w:r w:rsidRPr="00B0448F">
        <w:t>SCE</w:t>
      </w:r>
      <w:r w:rsidR="002961ED">
        <w:t>”</w:t>
      </w:r>
      <w:r w:rsidRPr="00B0448F">
        <w:t>), and San Diego Gas and Electric (</w:t>
      </w:r>
      <w:r w:rsidR="002961ED">
        <w:t>“</w:t>
      </w:r>
      <w:r w:rsidRPr="00B0448F">
        <w:t>SDG&amp;E</w:t>
      </w:r>
      <w:r w:rsidR="002961ED">
        <w:t>”</w:t>
      </w:r>
      <w:r w:rsidRPr="00B0448F">
        <w:t xml:space="preserve">) for Program Year </w:t>
      </w:r>
      <w:r w:rsidR="007A67BB">
        <w:t>2014</w:t>
      </w:r>
      <w:r w:rsidRPr="00B0448F">
        <w:t xml:space="preserve">. In these programs, </w:t>
      </w:r>
      <w:r w:rsidR="007A67BB">
        <w:t xml:space="preserve">third-party </w:t>
      </w:r>
      <w:r w:rsidRPr="00B0448F">
        <w:t xml:space="preserve">DR aggregators contract with the IOUs and with </w:t>
      </w:r>
      <w:r w:rsidR="007A67BB">
        <w:t xml:space="preserve">selected </w:t>
      </w:r>
      <w:r w:rsidRPr="00B0448F">
        <w:t>commercial and industrial customers</w:t>
      </w:r>
      <w:r w:rsidR="007A67BB">
        <w:t xml:space="preserve"> to arrange reductions in electricity usage when the utilities call DR events. The aggregators</w:t>
      </w:r>
      <w:r w:rsidRPr="00B0448F">
        <w:t xml:space="preserve"> act on behalf </w:t>
      </w:r>
      <w:r w:rsidR="007A67BB">
        <w:t xml:space="preserve">of their enrolled </w:t>
      </w:r>
      <w:r w:rsidR="00075250">
        <w:t>customer service account</w:t>
      </w:r>
      <w:r w:rsidR="007A67BB">
        <w:t xml:space="preserve">s </w:t>
      </w:r>
      <w:r w:rsidRPr="00B0448F">
        <w:t xml:space="preserve">with respect to all aspects of the DR program, including receiving </w:t>
      </w:r>
      <w:r w:rsidR="007A67BB">
        <w:t xml:space="preserve">event </w:t>
      </w:r>
      <w:r w:rsidRPr="00B0448F">
        <w:t xml:space="preserve">notices from the utility, arranging for load reductions on event days, receiving incentive payments, and paying penalties </w:t>
      </w:r>
      <w:r w:rsidR="007A67BB">
        <w:t xml:space="preserve">for non-performance </w:t>
      </w:r>
      <w:r w:rsidRPr="00B0448F">
        <w:t xml:space="preserve">(if warranted) to the utility. Each aggregator forms a </w:t>
      </w:r>
      <w:r w:rsidR="002961ED">
        <w:t>“</w:t>
      </w:r>
      <w:r w:rsidRPr="00B0448F">
        <w:t>portfolio</w:t>
      </w:r>
      <w:r w:rsidR="002961ED">
        <w:t>”</w:t>
      </w:r>
      <w:r w:rsidRPr="00B0448F">
        <w:t xml:space="preserve"> of individual </w:t>
      </w:r>
      <w:r w:rsidR="00595F10">
        <w:t>service accounts</w:t>
      </w:r>
      <w:r w:rsidRPr="00B0448F">
        <w:t>, whose aggregated load reductions participate as a single resource fo</w:t>
      </w:r>
      <w:r>
        <w:t xml:space="preserve">r the IOUs in the DR programs. </w:t>
      </w:r>
      <w:r w:rsidRPr="00B0448F">
        <w:t xml:space="preserve">Aggregators, depending on their contractual arrangement with the IOU, can enroll and nominate </w:t>
      </w:r>
      <w:r w:rsidR="00075250">
        <w:t>customer service account</w:t>
      </w:r>
      <w:r w:rsidRPr="00B0448F">
        <w:t>s in a mix of day-ahead (</w:t>
      </w:r>
      <w:r w:rsidR="002961ED">
        <w:t>“</w:t>
      </w:r>
      <w:r w:rsidRPr="00B0448F">
        <w:t>DA</w:t>
      </w:r>
      <w:r w:rsidR="002961ED">
        <w:t>”</w:t>
      </w:r>
      <w:r w:rsidRPr="00B0448F">
        <w:t>) and day-of (</w:t>
      </w:r>
      <w:r w:rsidR="002961ED">
        <w:t>“</w:t>
      </w:r>
      <w:r w:rsidRPr="00B0448F">
        <w:t>DO</w:t>
      </w:r>
      <w:r w:rsidR="002961ED">
        <w:t>”</w:t>
      </w:r>
      <w:r w:rsidRPr="00B0448F">
        <w:t>) triggered DR product types. The terms of the conditions of service can vary widely, depending on the individual contracts and tariffs negotiated between the aggregator</w:t>
      </w:r>
      <w:r w:rsidR="007A67BB">
        <w:t>,</w:t>
      </w:r>
      <w:r w:rsidRPr="00B0448F">
        <w:t xml:space="preserve"> and the IOU and </w:t>
      </w:r>
      <w:r w:rsidR="007A67BB">
        <w:t xml:space="preserve">its </w:t>
      </w:r>
      <w:r w:rsidRPr="00B0448F">
        <w:t>customers.</w:t>
      </w:r>
    </w:p>
    <w:p w:rsidR="00A70E54" w:rsidRPr="00B0448F" w:rsidRDefault="00A70E54" w:rsidP="00A70E54"/>
    <w:p w:rsidR="001D2C6A" w:rsidRPr="00B0448F" w:rsidRDefault="001D2C6A" w:rsidP="001D2C6A">
      <w:r w:rsidRPr="00B0448F">
        <w:t xml:space="preserve">The scope of this evaluation covers the state-wide </w:t>
      </w:r>
      <w:r w:rsidR="007A67BB">
        <w:t xml:space="preserve">tariff-based </w:t>
      </w:r>
      <w:r w:rsidRPr="00B0448F">
        <w:t>Capacity Bidding Program (</w:t>
      </w:r>
      <w:r>
        <w:t>“</w:t>
      </w:r>
      <w:r w:rsidRPr="00B0448F">
        <w:t>CBP</w:t>
      </w:r>
      <w:r>
        <w:t>”</w:t>
      </w:r>
      <w:r w:rsidRPr="00B0448F">
        <w:t xml:space="preserve">), which is operated by all three IOUs, </w:t>
      </w:r>
      <w:r>
        <w:t xml:space="preserve">and </w:t>
      </w:r>
      <w:r w:rsidRPr="00B0448F">
        <w:t>PG&amp;E</w:t>
      </w:r>
      <w:r>
        <w:t>’</w:t>
      </w:r>
      <w:r w:rsidRPr="00B0448F">
        <w:t xml:space="preserve">s </w:t>
      </w:r>
      <w:r>
        <w:t xml:space="preserve">and </w:t>
      </w:r>
      <w:r w:rsidRPr="00B0448F">
        <w:t>SCE</w:t>
      </w:r>
      <w:r>
        <w:t>’</w:t>
      </w:r>
      <w:r w:rsidRPr="00B0448F">
        <w:t xml:space="preserve">s </w:t>
      </w:r>
      <w:r w:rsidR="007A67BB">
        <w:t xml:space="preserve">contract-based </w:t>
      </w:r>
      <w:r w:rsidRPr="00B0448F">
        <w:t>Aggregator Managed Portfolio (</w:t>
      </w:r>
      <w:r>
        <w:t>“</w:t>
      </w:r>
      <w:r w:rsidRPr="00B0448F">
        <w:t>AMP</w:t>
      </w:r>
      <w:r>
        <w:t>”</w:t>
      </w:r>
      <w:r w:rsidRPr="00B0448F">
        <w:t>)</w:t>
      </w:r>
      <w:r>
        <w:t xml:space="preserve"> programs.</w:t>
      </w:r>
    </w:p>
    <w:p w:rsidR="00A70E54" w:rsidRPr="00B0448F" w:rsidRDefault="00A70E54" w:rsidP="00A70E54"/>
    <w:p w:rsidR="00A70E54" w:rsidRPr="00B0448F" w:rsidRDefault="00A70E54" w:rsidP="00A70E54">
      <w:r w:rsidRPr="00B0448F">
        <w:t>The primary goals of this evaluation study are the following:</w:t>
      </w:r>
    </w:p>
    <w:p w:rsidR="00A70E54" w:rsidRPr="00B0448F" w:rsidRDefault="00A70E54" w:rsidP="00A70E54">
      <w:pPr>
        <w:numPr>
          <w:ilvl w:val="0"/>
          <w:numId w:val="3"/>
        </w:numPr>
      </w:pPr>
      <w:r w:rsidRPr="00B0448F">
        <w:t xml:space="preserve">Estimate the </w:t>
      </w:r>
      <w:r w:rsidR="00B74B13" w:rsidRPr="00B74B13">
        <w:rPr>
          <w:i/>
        </w:rPr>
        <w:t>ex-post</w:t>
      </w:r>
      <w:r w:rsidRPr="00B0448F">
        <w:t xml:space="preserve"> lo</w:t>
      </w:r>
      <w:r>
        <w:t xml:space="preserve">ad impacts for program year </w:t>
      </w:r>
      <w:r w:rsidR="007A67BB">
        <w:t>2014</w:t>
      </w:r>
      <w:r w:rsidRPr="00B0448F">
        <w:t>;</w:t>
      </w:r>
      <w:r w:rsidR="007A67BB">
        <w:t xml:space="preserve"> and </w:t>
      </w:r>
      <w:r w:rsidRPr="00B0448F">
        <w:t xml:space="preserve"> </w:t>
      </w:r>
    </w:p>
    <w:p w:rsidR="00A70E54" w:rsidRPr="00370D7D" w:rsidRDefault="00A70E54" w:rsidP="007A67BB">
      <w:pPr>
        <w:numPr>
          <w:ilvl w:val="0"/>
          <w:numId w:val="3"/>
        </w:numPr>
      </w:pPr>
      <w:r w:rsidRPr="00370D7D">
        <w:t xml:space="preserve">Estimate the </w:t>
      </w:r>
      <w:r w:rsidR="00B74B13" w:rsidRPr="007A67BB">
        <w:rPr>
          <w:i/>
        </w:rPr>
        <w:t>ex-ante</w:t>
      </w:r>
      <w:r w:rsidRPr="00370D7D">
        <w:t xml:space="preserve"> load impacts for 201</w:t>
      </w:r>
      <w:r w:rsidR="007A67BB">
        <w:t>5</w:t>
      </w:r>
      <w:r w:rsidRPr="00370D7D">
        <w:t xml:space="preserve"> through 202</w:t>
      </w:r>
      <w:r w:rsidR="007A67BB">
        <w:t>5</w:t>
      </w:r>
      <w:r w:rsidRPr="00370D7D">
        <w:t>.</w:t>
      </w:r>
    </w:p>
    <w:p w:rsidR="00855E2D" w:rsidRDefault="00855E2D" w:rsidP="00B0448F"/>
    <w:p w:rsidR="00A70E54" w:rsidRPr="00A70E54" w:rsidRDefault="00A70E54" w:rsidP="00A70E54">
      <w:r w:rsidRPr="00A70E54">
        <w:t xml:space="preserve">The </w:t>
      </w:r>
      <w:r w:rsidR="008417CE">
        <w:t>first goal involves</w:t>
      </w:r>
      <w:r w:rsidRPr="00A70E54">
        <w:t xml:space="preserve"> estimating </w:t>
      </w:r>
      <w:r w:rsidRPr="00A70E54">
        <w:rPr>
          <w:i/>
        </w:rPr>
        <w:t>hourly load impacts</w:t>
      </w:r>
      <w:r w:rsidRPr="00A70E54">
        <w:t xml:space="preserve"> for each </w:t>
      </w:r>
      <w:r w:rsidR="007A67BB">
        <w:t>2014</w:t>
      </w:r>
      <w:r w:rsidRPr="00A70E54">
        <w:t xml:space="preserve"> event for each of the utilities</w:t>
      </w:r>
      <w:r w:rsidR="002961ED">
        <w:t>’</w:t>
      </w:r>
      <w:r w:rsidRPr="00A70E54">
        <w:t xml:space="preserve"> aggregator programs, as well as the distribution of load impacts for a </w:t>
      </w:r>
      <w:r w:rsidR="002961ED">
        <w:t>“</w:t>
      </w:r>
      <w:r w:rsidRPr="00A70E54">
        <w:t>typical</w:t>
      </w:r>
      <w:r w:rsidR="002961ED">
        <w:t>”</w:t>
      </w:r>
      <w:r w:rsidRPr="00A70E54">
        <w:t xml:space="preserve"> DR event across industry types and CAISO local capacity areas. Our primary approach </w:t>
      </w:r>
      <w:r w:rsidR="007A67BB">
        <w:t xml:space="preserve">to estimating load impacts </w:t>
      </w:r>
      <w:r w:rsidRPr="00A70E54">
        <w:t xml:space="preserve">involved estimating </w:t>
      </w:r>
      <w:r w:rsidRPr="00A70E54">
        <w:rPr>
          <w:i/>
        </w:rPr>
        <w:t>individual customer regressions</w:t>
      </w:r>
      <w:r w:rsidRPr="00A70E54">
        <w:t>, which provide</w:t>
      </w:r>
      <w:r w:rsidR="007A67BB">
        <w:t>s</w:t>
      </w:r>
      <w:r w:rsidRPr="00A70E54">
        <w:t xml:space="preserve"> a flexible basis for analyzing and reporting load impact results at various levels</w:t>
      </w:r>
      <w:r w:rsidR="007A67BB">
        <w:t xml:space="preserve"> of aggregation, including at the</w:t>
      </w:r>
      <w:r w:rsidRPr="00A70E54">
        <w:t xml:space="preserve"> total program level</w:t>
      </w:r>
      <w:r w:rsidR="007A67BB">
        <w:t xml:space="preserve">, </w:t>
      </w:r>
      <w:r w:rsidRPr="00A70E54">
        <w:t>and by various subgroups (</w:t>
      </w:r>
      <w:r w:rsidR="00ED0F45" w:rsidRPr="00ED0F45">
        <w:rPr>
          <w:i/>
        </w:rPr>
        <w:t>e.g.</w:t>
      </w:r>
      <w:r w:rsidRPr="00A70E54">
        <w:t>, by industry group and CAISO local capacity area</w:t>
      </w:r>
      <w:r w:rsidR="007A67BB">
        <w:t xml:space="preserve">, and by </w:t>
      </w:r>
      <w:r w:rsidRPr="00A70E54">
        <w:t xml:space="preserve">those </w:t>
      </w:r>
      <w:r w:rsidR="00075250">
        <w:t>customer service account</w:t>
      </w:r>
      <w:r w:rsidRPr="00A70E54">
        <w:t xml:space="preserve">s </w:t>
      </w:r>
      <w:r w:rsidR="008417CE">
        <w:t>that also participated</w:t>
      </w:r>
      <w:r w:rsidRPr="00A70E54">
        <w:t xml:space="preserve"> in the AutoDR and Technical Assistance and Technology Incentives (TA/TI) programs</w:t>
      </w:r>
      <w:r w:rsidR="007A67BB">
        <w:t>)</w:t>
      </w:r>
      <w:r w:rsidRPr="00A70E54">
        <w:t>.</w:t>
      </w:r>
    </w:p>
    <w:p w:rsidR="00A70E54" w:rsidRPr="00A70E54" w:rsidRDefault="00A70E54" w:rsidP="00A70E54"/>
    <w:p w:rsidR="00A70E54" w:rsidRPr="00A70E54" w:rsidRDefault="00A70E54" w:rsidP="00A70E54">
      <w:r w:rsidRPr="00A70E54">
        <w:t>The second goal involve</w:t>
      </w:r>
      <w:r w:rsidR="008417CE">
        <w:t>s</w:t>
      </w:r>
      <w:r w:rsidRPr="00A70E54">
        <w:t xml:space="preserve"> </w:t>
      </w:r>
      <w:r w:rsidR="008417CE">
        <w:t>producing</w:t>
      </w:r>
      <w:r w:rsidR="008417CE" w:rsidRPr="00A70E54">
        <w:t xml:space="preserve"> </w:t>
      </w:r>
      <w:r w:rsidR="008417CE" w:rsidRPr="00A70E54">
        <w:rPr>
          <w:i/>
        </w:rPr>
        <w:t>forecasts of load impacts</w:t>
      </w:r>
      <w:r w:rsidR="008417CE" w:rsidRPr="00A70E54">
        <w:t xml:space="preserve"> for each of the programs through 202</w:t>
      </w:r>
      <w:r w:rsidR="007A67BB">
        <w:t>5</w:t>
      </w:r>
      <w:r w:rsidR="008417CE">
        <w:t xml:space="preserve">, by </w:t>
      </w:r>
      <w:r w:rsidRPr="00A70E54">
        <w:t xml:space="preserve">combining the information on historical </w:t>
      </w:r>
      <w:r w:rsidR="00B74B13" w:rsidRPr="00B74B13">
        <w:rPr>
          <w:i/>
        </w:rPr>
        <w:t>ex-post</w:t>
      </w:r>
      <w:r w:rsidRPr="00A70E54">
        <w:t xml:space="preserve"> load impacts with utility projections of program enrollment or contracted load nominations</w:t>
      </w:r>
      <w:r w:rsidR="002961ED">
        <w:t xml:space="preserve">. </w:t>
      </w:r>
    </w:p>
    <w:p w:rsidR="00A70E54" w:rsidRDefault="00A70E54" w:rsidP="00B0448F"/>
    <w:p w:rsidR="00086C74" w:rsidRDefault="00086C74" w:rsidP="00FF7EC7">
      <w:pPr>
        <w:pStyle w:val="Heading1"/>
      </w:pPr>
      <w:bookmarkStart w:id="30" w:name="_Toc415231741"/>
      <w:r>
        <w:lastRenderedPageBreak/>
        <w:t>Aggregator DR Program Resources</w:t>
      </w:r>
      <w:bookmarkEnd w:id="30"/>
    </w:p>
    <w:p w:rsidR="00086C74" w:rsidRPr="00086C74" w:rsidRDefault="00086C74" w:rsidP="00086C74">
      <w:r w:rsidRPr="00086C74">
        <w:t xml:space="preserve">This section summarizes the aggregator programs covered in this evaluation, including the characteristics of the participants in the programs. </w:t>
      </w:r>
    </w:p>
    <w:p w:rsidR="00086C74" w:rsidRPr="00B0448F" w:rsidRDefault="00C104E9" w:rsidP="00C104E9">
      <w:pPr>
        <w:pStyle w:val="Heading2"/>
      </w:pPr>
      <w:bookmarkStart w:id="31" w:name="_Toc415231742"/>
      <w:r>
        <w:t>2.1 Capacity Bidding Program (</w:t>
      </w:r>
      <w:r w:rsidR="00086C74" w:rsidRPr="00B0448F">
        <w:t>CBP</w:t>
      </w:r>
      <w:r>
        <w:t>)</w:t>
      </w:r>
      <w:bookmarkEnd w:id="31"/>
    </w:p>
    <w:p w:rsidR="00086C74" w:rsidRDefault="00086C74" w:rsidP="00086C74">
      <w:r w:rsidRPr="00B0448F">
        <w:t xml:space="preserve">The </w:t>
      </w:r>
      <w:r>
        <w:t xml:space="preserve">statewide </w:t>
      </w:r>
      <w:r w:rsidRPr="00B0448F">
        <w:t>CBP program provides month</w:t>
      </w:r>
      <w:r w:rsidR="00FB228C">
        <w:t>ly</w:t>
      </w:r>
      <w:r w:rsidRPr="00B0448F">
        <w:t xml:space="preserve"> capacity payments ($/kW) to </w:t>
      </w:r>
      <w:r>
        <w:t xml:space="preserve">participants </w:t>
      </w:r>
      <w:r w:rsidRPr="00B0448F">
        <w:t>based on the nominated kW load</w:t>
      </w:r>
      <w:r w:rsidR="00FB228C">
        <w:t xml:space="preserve">, </w:t>
      </w:r>
      <w:r w:rsidRPr="00B0448F">
        <w:t>the specific operating month</w:t>
      </w:r>
      <w:r w:rsidR="00FB228C">
        <w:t>,</w:t>
      </w:r>
      <w:r w:rsidRPr="00B0448F">
        <w:t xml:space="preserve"> and </w:t>
      </w:r>
      <w:r>
        <w:t xml:space="preserve">the </w:t>
      </w:r>
      <w:r w:rsidRPr="00B0448F">
        <w:t xml:space="preserve">program </w:t>
      </w:r>
      <w:r w:rsidR="00766106">
        <w:t xml:space="preserve">notice </w:t>
      </w:r>
      <w:r w:rsidRPr="00B0448F">
        <w:t>option (DA or DO)</w:t>
      </w:r>
      <w:r w:rsidR="00FB228C">
        <w:t>.</w:t>
      </w:r>
      <w:r>
        <w:rPr>
          <w:rStyle w:val="FootnoteReference"/>
        </w:rPr>
        <w:footnoteReference w:id="5"/>
      </w:r>
      <w:r w:rsidRPr="00B0448F">
        <w:t xml:space="preserve"> Additional energy payments ($/kWh) are made to bundled</w:t>
      </w:r>
      <w:r w:rsidR="00FB228C">
        <w:rPr>
          <w:rStyle w:val="FootnoteReference"/>
        </w:rPr>
        <w:footnoteReference w:id="6"/>
      </w:r>
      <w:r w:rsidRPr="00B0448F">
        <w:t xml:space="preserve"> customers based on the measured kWh reductions (relative to the program baseline) that are achieved when an eve</w:t>
      </w:r>
      <w:r>
        <w:t xml:space="preserve">nt is called. </w:t>
      </w:r>
      <w:r w:rsidRPr="00B0448F">
        <w:t>The monthly capacity payments can be adjusted by the actual kWh reductions during an event, and capacity penalties apply if events are called in a month and measured load reductions fall below 50</w:t>
      </w:r>
      <w:r>
        <w:t xml:space="preserve"> percent of nominated amounts. </w:t>
      </w:r>
      <w:r w:rsidRPr="00B0448F">
        <w:t xml:space="preserve">If no events are called, </w:t>
      </w:r>
      <w:r w:rsidR="00626B35">
        <w:t>participants receive</w:t>
      </w:r>
      <w:r w:rsidRPr="00B0448F">
        <w:t xml:space="preserve"> the monthly capacity payment in accordance with their nomination</w:t>
      </w:r>
      <w:r w:rsidR="00626B35">
        <w:t>s</w:t>
      </w:r>
      <w:r w:rsidRPr="00B0448F">
        <w:t>, but no energy payments</w:t>
      </w:r>
      <w:r w:rsidR="002961ED">
        <w:t xml:space="preserve">. </w:t>
      </w:r>
    </w:p>
    <w:p w:rsidR="00086C74" w:rsidRDefault="00086C74" w:rsidP="00086C74"/>
    <w:p w:rsidR="00086C74" w:rsidRDefault="00086C74" w:rsidP="00086C74">
      <w:r>
        <w:t>Participating aggregator</w:t>
      </w:r>
      <w:r w:rsidRPr="00B0448F">
        <w:t>s may adjust their nomination</w:t>
      </w:r>
      <w:r w:rsidR="00766106">
        <w:t>s</w:t>
      </w:r>
      <w:r w:rsidRPr="00B0448F">
        <w:t xml:space="preserve"> each month, as well as their choice of available </w:t>
      </w:r>
      <w:r w:rsidR="00626B35">
        <w:t>notice-type and event-</w:t>
      </w:r>
      <w:r w:rsidRPr="00B0448F">
        <w:t>window options (</w:t>
      </w:r>
      <w:r w:rsidR="00ED0F45" w:rsidRPr="00ED0F45">
        <w:rPr>
          <w:i/>
        </w:rPr>
        <w:t>e.g.</w:t>
      </w:r>
      <w:r w:rsidRPr="00B0448F">
        <w:t>, DA or DO event</w:t>
      </w:r>
      <w:r w:rsidR="00766106">
        <w:t xml:space="preserve"> notice</w:t>
      </w:r>
      <w:r w:rsidRPr="00B0448F">
        <w:t>, and 1-to-4, 2-to-6, or 4-to-8 hour maximum event duration</w:t>
      </w:r>
      <w:r>
        <w:t xml:space="preserve">s). </w:t>
      </w:r>
      <w:r w:rsidR="00362E25">
        <w:t xml:space="preserve">For PG&amp;E and SDG&amp;E, </w:t>
      </w:r>
      <w:r w:rsidR="00362E25" w:rsidRPr="00B0448F">
        <w:t>CBP events may be called on non-holiday weekdays in the months of May through October, between the hours of 11 a.m. and 7 p.m., with a maximum of t</w:t>
      </w:r>
      <w:r w:rsidR="00362E25">
        <w:t>hirty</w:t>
      </w:r>
      <w:r w:rsidR="00362E25" w:rsidRPr="00B0448F">
        <w:t xml:space="preserve"> event hours per month</w:t>
      </w:r>
      <w:r w:rsidR="00362E25">
        <w:t xml:space="preserve"> for PG&amp;E, and 44 event hours per month for SDG&amp;E</w:t>
      </w:r>
      <w:r w:rsidR="00362E25" w:rsidRPr="00B0448F">
        <w:t>.</w:t>
      </w:r>
      <w:r w:rsidR="00362E25">
        <w:t xml:space="preserve"> For SCE, CBP events may be called on any non-holiday weekday of the year.</w:t>
      </w:r>
      <w:r w:rsidR="006A0D5B">
        <w:t xml:space="preserve"> </w:t>
      </w:r>
      <w:r w:rsidR="00075250">
        <w:t>Customer service account</w:t>
      </w:r>
      <w:r w:rsidRPr="00370D7D">
        <w:t>s enrolled in CBP may participate in another DR program, so long as it is an energy-payment program and</w:t>
      </w:r>
      <w:r w:rsidR="00626B35">
        <w:t xml:space="preserve"> does not have the same advance</w:t>
      </w:r>
      <w:r w:rsidRPr="00370D7D">
        <w:t xml:space="preserve"> notificati</w:t>
      </w:r>
      <w:r>
        <w:t>on (</w:t>
      </w:r>
      <w:r w:rsidR="00ED0F45" w:rsidRPr="00ED0F45">
        <w:rPr>
          <w:i/>
        </w:rPr>
        <w:t>i.e.</w:t>
      </w:r>
      <w:r>
        <w:t>, day-ahead or day-of).</w:t>
      </w:r>
    </w:p>
    <w:p w:rsidR="00C104E9" w:rsidRDefault="00C104E9" w:rsidP="00086C74"/>
    <w:p w:rsidR="00D2004F" w:rsidRDefault="00C104E9" w:rsidP="00086C74">
      <w:r w:rsidRPr="00C104E9">
        <w:t>Table 2–1 summarize</w:t>
      </w:r>
      <w:r>
        <w:t>s</w:t>
      </w:r>
      <w:r w:rsidRPr="00C104E9">
        <w:t xml:space="preserve"> the </w:t>
      </w:r>
      <w:r w:rsidR="00E907EC">
        <w:t xml:space="preserve">number of </w:t>
      </w:r>
      <w:r w:rsidR="00595F10">
        <w:t>service accounts</w:t>
      </w:r>
      <w:r w:rsidRPr="00C104E9">
        <w:t xml:space="preserve"> </w:t>
      </w:r>
      <w:r>
        <w:t xml:space="preserve">that </w:t>
      </w:r>
      <w:r w:rsidR="00766106">
        <w:t xml:space="preserve">were nominated </w:t>
      </w:r>
      <w:r w:rsidR="00F573CF">
        <w:t>for</w:t>
      </w:r>
      <w:r w:rsidRPr="00C104E9">
        <w:t xml:space="preserve"> </w:t>
      </w:r>
      <w:r w:rsidR="0077445D">
        <w:t xml:space="preserve">the typical </w:t>
      </w:r>
      <w:r>
        <w:t xml:space="preserve">CBP </w:t>
      </w:r>
      <w:r w:rsidR="003413D8">
        <w:t xml:space="preserve">event </w:t>
      </w:r>
      <w:r w:rsidR="003B44BA">
        <w:t xml:space="preserve">at each utility </w:t>
      </w:r>
      <w:r>
        <w:t xml:space="preserve">in </w:t>
      </w:r>
      <w:r w:rsidR="007A67BB">
        <w:t>2014</w:t>
      </w:r>
      <w:r w:rsidRPr="00C104E9">
        <w:t xml:space="preserve">, </w:t>
      </w:r>
      <w:r>
        <w:t>by</w:t>
      </w:r>
      <w:r w:rsidRPr="00C104E9">
        <w:t xml:space="preserve"> </w:t>
      </w:r>
      <w:r w:rsidR="00766106">
        <w:t>type of notice</w:t>
      </w:r>
      <w:r w:rsidR="003B44BA">
        <w:t xml:space="preserve"> and </w:t>
      </w:r>
      <w:r w:rsidRPr="00C104E9">
        <w:t xml:space="preserve">industry </w:t>
      </w:r>
      <w:r w:rsidR="00D2004F">
        <w:t>group</w:t>
      </w:r>
      <w:r w:rsidR="00E907EC">
        <w:t xml:space="preserve">, along with their associated </w:t>
      </w:r>
      <w:r w:rsidR="0077445D">
        <w:t>coincident maximum</w:t>
      </w:r>
      <w:r w:rsidR="00E907EC">
        <w:t xml:space="preserve"> demand</w:t>
      </w:r>
      <w:r>
        <w:t>.</w:t>
      </w:r>
      <w:r w:rsidR="00803267" w:rsidRPr="00803267">
        <w:t xml:space="preserve"> </w:t>
      </w:r>
      <w:r w:rsidR="00803267" w:rsidRPr="008A3E42">
        <w:rPr>
          <w:rStyle w:val="FootnoteReference"/>
        </w:rPr>
        <w:footnoteReference w:id="7"/>
      </w:r>
      <w:r w:rsidR="00803267">
        <w:t xml:space="preserve"> </w:t>
      </w:r>
      <w:r w:rsidR="006A0D5B">
        <w:rPr>
          <w:rStyle w:val="FootnoteReference"/>
        </w:rPr>
        <w:footnoteReference w:id="8"/>
      </w:r>
      <w:r>
        <w:t xml:space="preserve"> </w:t>
      </w:r>
      <w:r w:rsidR="00F573CF">
        <w:t xml:space="preserve">Since nominations vary by month, we use the convention of reporting the average number of nominated </w:t>
      </w:r>
      <w:r w:rsidR="00595F10">
        <w:t>service accounts</w:t>
      </w:r>
      <w:r w:rsidR="00F573CF">
        <w:t xml:space="preserve"> for the </w:t>
      </w:r>
      <w:r w:rsidR="00766106">
        <w:t>typical event.</w:t>
      </w:r>
      <w:r w:rsidR="00766106">
        <w:rPr>
          <w:rStyle w:val="FootnoteReference"/>
        </w:rPr>
        <w:footnoteReference w:id="9"/>
      </w:r>
      <w:r w:rsidR="00766106">
        <w:t xml:space="preserve"> </w:t>
      </w:r>
    </w:p>
    <w:p w:rsidR="00626B35" w:rsidRDefault="00626B35" w:rsidP="00086C74"/>
    <w:p w:rsidR="00D2004F" w:rsidRPr="00A15ECD" w:rsidRDefault="00E907EC" w:rsidP="00086C74">
      <w:r w:rsidRPr="00E907EC">
        <w:lastRenderedPageBreak/>
        <w:t xml:space="preserve">Substantially larger numbers of </w:t>
      </w:r>
      <w:r w:rsidR="00595F10">
        <w:t>service accounts</w:t>
      </w:r>
      <w:r w:rsidRPr="00E907EC">
        <w:t xml:space="preserve"> were nominated for the day-of notice option at all three utilities. </w:t>
      </w:r>
      <w:r w:rsidR="00D2004F" w:rsidRPr="00E907EC">
        <w:t xml:space="preserve">Retail stores </w:t>
      </w:r>
      <w:r w:rsidRPr="00E907EC">
        <w:t xml:space="preserve">make up a large share of CBP DO nominated </w:t>
      </w:r>
      <w:r w:rsidR="00075250">
        <w:t>customer service account</w:t>
      </w:r>
      <w:r w:rsidRPr="00E907EC">
        <w:t xml:space="preserve">s </w:t>
      </w:r>
      <w:r w:rsidR="00D2004F" w:rsidRPr="00E907EC">
        <w:t>at each of the utilities</w:t>
      </w:r>
      <w:r w:rsidRPr="00E907EC">
        <w:t>, as well as CBP DA at SCE</w:t>
      </w:r>
      <w:r w:rsidR="00D2004F" w:rsidRPr="00E907EC">
        <w:t xml:space="preserve">. </w:t>
      </w:r>
      <w:r w:rsidRPr="00E907EC">
        <w:t xml:space="preserve">Approximately </w:t>
      </w:r>
      <w:r w:rsidR="00D51A2C" w:rsidRPr="00E907EC">
        <w:t xml:space="preserve">half of </w:t>
      </w:r>
      <w:r w:rsidR="00EE161E" w:rsidRPr="00E907EC">
        <w:t>SDG&amp;E</w:t>
      </w:r>
      <w:r w:rsidR="002961ED" w:rsidRPr="00E907EC">
        <w:t>’</w:t>
      </w:r>
      <w:r w:rsidR="00EE161E" w:rsidRPr="00E907EC">
        <w:t xml:space="preserve">s DA product </w:t>
      </w:r>
      <w:r w:rsidR="00D51A2C" w:rsidRPr="00E907EC">
        <w:t xml:space="preserve">consists of </w:t>
      </w:r>
      <w:r w:rsidR="00075250">
        <w:t>customer service account</w:t>
      </w:r>
      <w:r w:rsidR="00D51A2C" w:rsidRPr="00E907EC">
        <w:t xml:space="preserve">s in </w:t>
      </w:r>
      <w:r w:rsidR="00D2004F" w:rsidRPr="00E907EC">
        <w:t>Offices, Hotels, Health</w:t>
      </w:r>
      <w:r w:rsidR="00EE161E" w:rsidRPr="00E907EC">
        <w:t>,</w:t>
      </w:r>
      <w:r w:rsidR="00D2004F" w:rsidRPr="00E907EC">
        <w:t xml:space="preserve"> and Services.</w:t>
      </w:r>
      <w:r w:rsidR="005D0A20">
        <w:rPr>
          <w:rStyle w:val="FootnoteReference"/>
        </w:rPr>
        <w:footnoteReference w:id="10"/>
      </w:r>
    </w:p>
    <w:p w:rsidR="00D2004F" w:rsidRDefault="00D2004F" w:rsidP="00086C74"/>
    <w:p w:rsidR="00D2004F" w:rsidRPr="00BF6C03" w:rsidRDefault="00D2004F" w:rsidP="00BF6C03">
      <w:pPr>
        <w:pStyle w:val="TableCaption"/>
      </w:pPr>
      <w:bookmarkStart w:id="32" w:name="_Toc223232989"/>
      <w:bookmarkStart w:id="33" w:name="_Toc288466628"/>
      <w:bookmarkStart w:id="34" w:name="_Toc414545880"/>
      <w:r w:rsidRPr="00BF6C03">
        <w:t xml:space="preserve">Table </w:t>
      </w:r>
      <w:fldSimple w:instr=" STYLEREF 1 \s ">
        <w:r w:rsidR="004A7BE8">
          <w:rPr>
            <w:noProof/>
          </w:rPr>
          <w:t>2</w:t>
        </w:r>
      </w:fldSimple>
      <w:r w:rsidR="0088207A">
        <w:t>–</w:t>
      </w:r>
      <w:r w:rsidRPr="00BF6C03">
        <w:t xml:space="preserve">1: CBP </w:t>
      </w:r>
      <w:r w:rsidR="00EB3DCF" w:rsidRPr="00BF6C03">
        <w:t>Nominat</w:t>
      </w:r>
      <w:r w:rsidR="00AE715E" w:rsidRPr="00BF6C03">
        <w:t xml:space="preserve">ed </w:t>
      </w:r>
      <w:r w:rsidR="00595F10">
        <w:t xml:space="preserve">Service </w:t>
      </w:r>
      <w:r w:rsidR="00890830">
        <w:t>A</w:t>
      </w:r>
      <w:r w:rsidR="00595F10">
        <w:t>ccounts</w:t>
      </w:r>
      <w:r w:rsidR="00B714BF">
        <w:t>,</w:t>
      </w:r>
      <w:r w:rsidR="00EB3DCF" w:rsidRPr="00BF6C03">
        <w:t xml:space="preserve"> by Utility and</w:t>
      </w:r>
      <w:r w:rsidRPr="00BF6C03">
        <w:t xml:space="preserve"> Industry Group</w:t>
      </w:r>
      <w:bookmarkEnd w:id="32"/>
      <w:bookmarkEnd w:id="33"/>
      <w:r w:rsidR="00E4747E">
        <w:t xml:space="preserve"> (</w:t>
      </w:r>
      <w:r w:rsidR="007A67BB">
        <w:t>2014</w:t>
      </w:r>
      <w:r w:rsidR="00E4747E">
        <w:t>)</w:t>
      </w:r>
      <w:bookmarkEnd w:id="34"/>
    </w:p>
    <w:p w:rsidR="00D2004F" w:rsidRPr="00EE161E" w:rsidRDefault="009E71B1" w:rsidP="00E25E79">
      <w:pPr>
        <w:jc w:val="center"/>
      </w:pPr>
      <w:r w:rsidRPr="009E71B1">
        <w:rPr>
          <w:noProof/>
        </w:rPr>
        <w:drawing>
          <wp:inline distT="0" distB="0" distL="0" distR="0" wp14:anchorId="5EE4EF5F" wp14:editId="0FBFE7DB">
            <wp:extent cx="5486400" cy="5566018"/>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5566018"/>
                    </a:xfrm>
                    <a:prstGeom prst="rect">
                      <a:avLst/>
                    </a:prstGeom>
                    <a:noFill/>
                    <a:ln>
                      <a:noFill/>
                    </a:ln>
                  </pic:spPr>
                </pic:pic>
              </a:graphicData>
            </a:graphic>
          </wp:inline>
        </w:drawing>
      </w:r>
    </w:p>
    <w:p w:rsidR="00E25E79" w:rsidRPr="00E25E79" w:rsidRDefault="00E25E79" w:rsidP="00086C74"/>
    <w:p w:rsidR="003B44BA" w:rsidRDefault="003B44BA" w:rsidP="003B44BA">
      <w:r>
        <w:t>Table 2</w:t>
      </w:r>
      <w:r w:rsidR="00BF6C03">
        <w:t>–</w:t>
      </w:r>
      <w:r>
        <w:t xml:space="preserve">2 lists </w:t>
      </w:r>
      <w:r w:rsidRPr="00C104E9">
        <w:t xml:space="preserve">the </w:t>
      </w:r>
      <w:r>
        <w:t xml:space="preserve">definitions of the </w:t>
      </w:r>
      <w:r w:rsidRPr="00C104E9">
        <w:t xml:space="preserve">industry </w:t>
      </w:r>
      <w:r>
        <w:t>groups, which are defined as aggregations of the indicated</w:t>
      </w:r>
      <w:r w:rsidRPr="00C104E9">
        <w:t xml:space="preserve"> North American Industry Classification System (NAICS) codes. </w:t>
      </w:r>
    </w:p>
    <w:p w:rsidR="00D2004F" w:rsidRDefault="00D2004F" w:rsidP="00086C74"/>
    <w:p w:rsidR="00D2004F" w:rsidRPr="00D2004F" w:rsidRDefault="00D2004F" w:rsidP="00D2004F">
      <w:pPr>
        <w:pStyle w:val="TableCaption"/>
      </w:pPr>
      <w:bookmarkStart w:id="35" w:name="_Toc288466627"/>
      <w:bookmarkStart w:id="36" w:name="_Toc414545881"/>
      <w:r w:rsidRPr="00D2004F">
        <w:lastRenderedPageBreak/>
        <w:t xml:space="preserve">Table </w:t>
      </w:r>
      <w:fldSimple w:instr=" STYLEREF 1 \s ">
        <w:r w:rsidR="004A7BE8">
          <w:rPr>
            <w:noProof/>
          </w:rPr>
          <w:t>2</w:t>
        </w:r>
      </w:fldSimple>
      <w:r w:rsidR="0088207A">
        <w:t>–</w:t>
      </w:r>
      <w:r>
        <w:t xml:space="preserve">2: </w:t>
      </w:r>
      <w:r w:rsidRPr="00D2004F">
        <w:t xml:space="preserve">Industry </w:t>
      </w:r>
      <w:r w:rsidR="008F3044">
        <w:t>Type</w:t>
      </w:r>
      <w:r w:rsidRPr="00D2004F">
        <w:t xml:space="preserve"> Definition</w:t>
      </w:r>
      <w:bookmarkEnd w:id="35"/>
      <w:r w:rsidR="008F3044">
        <w:t>s</w:t>
      </w:r>
      <w:bookmarkEnd w:id="36"/>
    </w:p>
    <w:p w:rsidR="00D2004F" w:rsidRPr="008F3044" w:rsidRDefault="00877CD6" w:rsidP="00A36FB4">
      <w:pPr>
        <w:jc w:val="center"/>
      </w:pPr>
      <w:r w:rsidRPr="008F3044">
        <w:rPr>
          <w:noProof/>
        </w:rPr>
        <w:drawing>
          <wp:inline distT="0" distB="0" distL="0" distR="0" wp14:anchorId="502E75F4" wp14:editId="216FF0BA">
            <wp:extent cx="3337560" cy="15360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37560" cy="1536065"/>
                    </a:xfrm>
                    <a:prstGeom prst="rect">
                      <a:avLst/>
                    </a:prstGeom>
                    <a:noFill/>
                    <a:ln>
                      <a:noFill/>
                    </a:ln>
                  </pic:spPr>
                </pic:pic>
              </a:graphicData>
            </a:graphic>
          </wp:inline>
        </w:drawing>
      </w:r>
    </w:p>
    <w:p w:rsidR="00A15ECD" w:rsidRDefault="00A15ECD" w:rsidP="00086C74"/>
    <w:p w:rsidR="00626B35" w:rsidRDefault="00626B35" w:rsidP="00626B35">
      <w:pPr>
        <w:pStyle w:val="Heading2"/>
      </w:pPr>
      <w:bookmarkStart w:id="37" w:name="_Toc415231743"/>
      <w:r>
        <w:t>2.2 Aggregator Managed Portfolio (AMP)</w:t>
      </w:r>
      <w:bookmarkEnd w:id="37"/>
    </w:p>
    <w:p w:rsidR="00626B35" w:rsidRPr="00C104E9" w:rsidRDefault="00626B35" w:rsidP="00086C74">
      <w:r>
        <w:t>Under AMP, third-party aggregators enter bilateral contracts with PG&amp;E and/or SCE, and may create their own aggregated DR program by which participating customers achieve load reductions.</w:t>
      </w:r>
    </w:p>
    <w:p w:rsidR="00086C74" w:rsidRPr="00B0448F" w:rsidRDefault="00C104E9" w:rsidP="00626B35">
      <w:pPr>
        <w:pStyle w:val="Heading3"/>
      </w:pPr>
      <w:bookmarkStart w:id="38" w:name="_Toc415231744"/>
      <w:r>
        <w:t>2.2</w:t>
      </w:r>
      <w:r w:rsidR="00626B35">
        <w:t>.1</w:t>
      </w:r>
      <w:r>
        <w:t xml:space="preserve"> PG&amp;E</w:t>
      </w:r>
      <w:r w:rsidR="002961ED">
        <w:t>’</w:t>
      </w:r>
      <w:r>
        <w:t xml:space="preserve">s </w:t>
      </w:r>
      <w:r w:rsidR="00086C74" w:rsidRPr="00B0448F">
        <w:t>AMP</w:t>
      </w:r>
      <w:bookmarkEnd w:id="38"/>
    </w:p>
    <w:p w:rsidR="000C2875" w:rsidRDefault="00CF6DDD" w:rsidP="000C2875">
      <w:r>
        <w:t xml:space="preserve">PG&amp;E has </w:t>
      </w:r>
      <w:r w:rsidR="00626B35">
        <w:t xml:space="preserve">AMP </w:t>
      </w:r>
      <w:r>
        <w:t xml:space="preserve">contracts with </w:t>
      </w:r>
      <w:r w:rsidRPr="000C2875">
        <w:t>f</w:t>
      </w:r>
      <w:r w:rsidR="00BD1E2B" w:rsidRPr="000C2875">
        <w:t>ive</w:t>
      </w:r>
      <w:r>
        <w:t xml:space="preserve"> aggregators</w:t>
      </w:r>
      <w:r w:rsidR="00F82E5A">
        <w:t xml:space="preserve">. Four </w:t>
      </w:r>
      <w:r w:rsidR="00BD1E2B">
        <w:t xml:space="preserve">offer </w:t>
      </w:r>
      <w:r w:rsidR="00F82E5A">
        <w:t>DO contracts, and one offers a DA contract</w:t>
      </w:r>
      <w:r w:rsidR="00BD1E2B">
        <w:t xml:space="preserve">. </w:t>
      </w:r>
      <w:r w:rsidR="00D0097D">
        <w:t xml:space="preserve">Up to 80 hours of events may be called each year, </w:t>
      </w:r>
      <w:r w:rsidR="00D0097D" w:rsidRPr="0005519E">
        <w:t>including test events</w:t>
      </w:r>
      <w:r w:rsidR="00D0097D">
        <w:t xml:space="preserve">, during the hours of 11 a.m. and 7 p.m. </w:t>
      </w:r>
      <w:r w:rsidR="00D0097D" w:rsidRPr="0005519E">
        <w:t xml:space="preserve">AMP events may be triggered </w:t>
      </w:r>
      <w:r w:rsidR="00D0097D">
        <w:t xml:space="preserve">when </w:t>
      </w:r>
      <w:r w:rsidR="00626B35">
        <w:t xml:space="preserve">the utility </w:t>
      </w:r>
      <w:r w:rsidR="00D0097D">
        <w:t xml:space="preserve">expects the dispatch of electric supply resources with implied heat rates of 15,000 BTU/kWh or greater, and/or </w:t>
      </w:r>
      <w:r w:rsidR="000650F0">
        <w:t>the utility</w:t>
      </w:r>
      <w:r w:rsidR="00D0097D">
        <w:t xml:space="preserve">, in its sole discretion, anticipates conditions or situations that may adversely impact the electric system. </w:t>
      </w:r>
      <w:r w:rsidR="000C2875">
        <w:t>In 2014, PG&amp;E dispatched a number of localized events for which only some SubLaps were called. These events are described in Section 4.</w:t>
      </w:r>
    </w:p>
    <w:p w:rsidR="000C2875" w:rsidRDefault="000C2875" w:rsidP="00086C74"/>
    <w:p w:rsidR="00086C74" w:rsidRDefault="00CF6DDD" w:rsidP="00086C74">
      <w:r>
        <w:t xml:space="preserve">Customers who participate in AMP with </w:t>
      </w:r>
      <w:r w:rsidRPr="004C2E26">
        <w:rPr>
          <w:i/>
        </w:rPr>
        <w:t>day-ahead</w:t>
      </w:r>
      <w:r>
        <w:t xml:space="preserve"> notice are allowed to dually enroll in PG&amp;E’s Optional Binding Mandatory Curtailment program, while AMP customers who select </w:t>
      </w:r>
      <w:r w:rsidRPr="007C29EF">
        <w:rPr>
          <w:i/>
        </w:rPr>
        <w:t>day-of</w:t>
      </w:r>
      <w:r>
        <w:t xml:space="preserve"> notification may also participate in DBP or Peak Day Pricing (PDP). The settlement baselines are based on the aggregate 10-in-10 method</w:t>
      </w:r>
      <w:r w:rsidR="00D0097D">
        <w:t>, with an optional day-of adjustment</w:t>
      </w:r>
      <w:r>
        <w:t>.</w:t>
      </w:r>
    </w:p>
    <w:p w:rsidR="00A15ECD" w:rsidRDefault="00A15ECD" w:rsidP="00086C74"/>
    <w:p w:rsidR="00A15ECD" w:rsidRPr="00A15ECD" w:rsidRDefault="00A15ECD" w:rsidP="00A15ECD">
      <w:r w:rsidRPr="00A15ECD">
        <w:t>Table 2–</w:t>
      </w:r>
      <w:r w:rsidR="00EB3DCF">
        <w:t>3</w:t>
      </w:r>
      <w:r w:rsidRPr="00A15ECD">
        <w:t xml:space="preserve"> show</w:t>
      </w:r>
      <w:r>
        <w:t>s</w:t>
      </w:r>
      <w:r w:rsidRPr="00A15ECD">
        <w:t xml:space="preserve"> </w:t>
      </w:r>
      <w:r w:rsidR="001714DB">
        <w:t xml:space="preserve">the number of </w:t>
      </w:r>
      <w:r w:rsidR="00075250">
        <w:t>customer service account</w:t>
      </w:r>
      <w:r w:rsidR="00AE715E">
        <w:t xml:space="preserve">s </w:t>
      </w:r>
      <w:r w:rsidR="00EB3DCF">
        <w:t>nominat</w:t>
      </w:r>
      <w:r w:rsidR="00AE715E">
        <w:t>ed</w:t>
      </w:r>
      <w:r w:rsidR="00EB3DCF">
        <w:t xml:space="preserve"> </w:t>
      </w:r>
      <w:r w:rsidRPr="00A15ECD">
        <w:t xml:space="preserve">for </w:t>
      </w:r>
      <w:r w:rsidR="001714DB">
        <w:t xml:space="preserve">the </w:t>
      </w:r>
      <w:r w:rsidR="000C2875">
        <w:t xml:space="preserve">typical PG&amp;E </w:t>
      </w:r>
      <w:r w:rsidR="001714DB">
        <w:t xml:space="preserve">AMP </w:t>
      </w:r>
      <w:r w:rsidRPr="00A15ECD">
        <w:t xml:space="preserve">DA and DO </w:t>
      </w:r>
      <w:r w:rsidR="001714DB">
        <w:t>event</w:t>
      </w:r>
      <w:r w:rsidR="00AE715E">
        <w:t>, by industry type</w:t>
      </w:r>
      <w:r w:rsidR="000C2875">
        <w:t xml:space="preserve">, along with their </w:t>
      </w:r>
      <w:r w:rsidR="000650F0">
        <w:t>coincident maximum</w:t>
      </w:r>
      <w:r w:rsidR="000C2875">
        <w:t xml:space="preserve"> demand</w:t>
      </w:r>
      <w:r w:rsidR="00575CE6">
        <w:t xml:space="preserve">. </w:t>
      </w:r>
      <w:r w:rsidR="00E4747E">
        <w:t xml:space="preserve">The aggregators nominated nearly </w:t>
      </w:r>
      <w:r w:rsidR="00E4747E" w:rsidRPr="000C2875">
        <w:t>1,</w:t>
      </w:r>
      <w:r w:rsidR="000C2875" w:rsidRPr="000C2875">
        <w:t>9</w:t>
      </w:r>
      <w:r w:rsidR="00E4747E" w:rsidRPr="000C2875">
        <w:t>00</w:t>
      </w:r>
      <w:r w:rsidR="00E4747E">
        <w:t xml:space="preserve"> service accounts</w:t>
      </w:r>
      <w:r w:rsidR="000C2875">
        <w:t xml:space="preserve"> across both notice types</w:t>
      </w:r>
      <w:r w:rsidR="00E4747E">
        <w:t xml:space="preserve">. </w:t>
      </w:r>
      <w:r w:rsidR="00FF16DA">
        <w:t>More than</w:t>
      </w:r>
      <w:r w:rsidR="00F063F4">
        <w:t xml:space="preserve"> half of those nominated for </w:t>
      </w:r>
      <w:r w:rsidRPr="00A15ECD">
        <w:t xml:space="preserve">DA </w:t>
      </w:r>
      <w:r w:rsidR="00F063F4">
        <w:t xml:space="preserve">are </w:t>
      </w:r>
      <w:r w:rsidR="001714DB">
        <w:t>in the M</w:t>
      </w:r>
      <w:r w:rsidRPr="00A15ECD">
        <w:t xml:space="preserve">anufacturing </w:t>
      </w:r>
      <w:r w:rsidR="00FF16DA">
        <w:t xml:space="preserve">or </w:t>
      </w:r>
      <w:r w:rsidR="001714DB">
        <w:t>R</w:t>
      </w:r>
      <w:r w:rsidR="00FF16DA">
        <w:t xml:space="preserve">etail store </w:t>
      </w:r>
      <w:r w:rsidR="001714DB">
        <w:t>industry types</w:t>
      </w:r>
      <w:r w:rsidRPr="00A15ECD">
        <w:t xml:space="preserve">, while DO </w:t>
      </w:r>
      <w:r w:rsidR="00F063F4">
        <w:t>nominations are</w:t>
      </w:r>
      <w:r w:rsidRPr="00A15ECD">
        <w:t xml:space="preserve"> spread over several industry types</w:t>
      </w:r>
      <w:r w:rsidR="002961ED">
        <w:t xml:space="preserve">. </w:t>
      </w:r>
    </w:p>
    <w:p w:rsidR="00A15ECD" w:rsidRPr="00A15ECD" w:rsidRDefault="00A15ECD" w:rsidP="00A15ECD"/>
    <w:p w:rsidR="00EB3DCF" w:rsidRPr="00D2004F" w:rsidRDefault="00EB3DCF" w:rsidP="00EB3DCF">
      <w:pPr>
        <w:pStyle w:val="TableCaption"/>
        <w:rPr>
          <w:i/>
        </w:rPr>
      </w:pPr>
      <w:bookmarkStart w:id="39" w:name="_Toc414545882"/>
      <w:r w:rsidRPr="00D2004F">
        <w:lastRenderedPageBreak/>
        <w:t xml:space="preserve">Table </w:t>
      </w:r>
      <w:fldSimple w:instr=" STYLEREF 1 \s ">
        <w:r w:rsidR="004A7BE8">
          <w:rPr>
            <w:noProof/>
          </w:rPr>
          <w:t>2</w:t>
        </w:r>
      </w:fldSimple>
      <w:r w:rsidR="0088207A">
        <w:t>–</w:t>
      </w:r>
      <w:r>
        <w:t>3: PG&amp;E AMP Nominat</w:t>
      </w:r>
      <w:r w:rsidR="00AE715E">
        <w:t xml:space="preserve">ed </w:t>
      </w:r>
      <w:r w:rsidR="00595F10">
        <w:t xml:space="preserve">Service </w:t>
      </w:r>
      <w:r w:rsidR="00890830">
        <w:t>A</w:t>
      </w:r>
      <w:r w:rsidR="00595F10">
        <w:t>ccounts</w:t>
      </w:r>
      <w:r w:rsidR="00B714BF">
        <w:t>,</w:t>
      </w:r>
      <w:r w:rsidRPr="00D2004F">
        <w:t xml:space="preserve"> by Industry </w:t>
      </w:r>
      <w:r>
        <w:t>G</w:t>
      </w:r>
      <w:r w:rsidRPr="00D2004F">
        <w:t>roup</w:t>
      </w:r>
      <w:bookmarkEnd w:id="39"/>
    </w:p>
    <w:p w:rsidR="00A15ECD" w:rsidRPr="00E25E79" w:rsidRDefault="00EA4291" w:rsidP="00E25E79">
      <w:pPr>
        <w:jc w:val="center"/>
      </w:pPr>
      <w:r w:rsidRPr="00EA4291">
        <w:rPr>
          <w:noProof/>
        </w:rPr>
        <w:drawing>
          <wp:inline distT="0" distB="0" distL="0" distR="0" wp14:anchorId="5E72D64D" wp14:editId="769433CB">
            <wp:extent cx="4857750" cy="253365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57750" cy="2533650"/>
                    </a:xfrm>
                    <a:prstGeom prst="rect">
                      <a:avLst/>
                    </a:prstGeom>
                    <a:noFill/>
                    <a:ln>
                      <a:noFill/>
                    </a:ln>
                  </pic:spPr>
                </pic:pic>
              </a:graphicData>
            </a:graphic>
          </wp:inline>
        </w:drawing>
      </w:r>
    </w:p>
    <w:p w:rsidR="00086C74" w:rsidRPr="00B0448F" w:rsidRDefault="00626B35" w:rsidP="00626B35">
      <w:pPr>
        <w:pStyle w:val="Heading3"/>
      </w:pPr>
      <w:bookmarkStart w:id="40" w:name="_Toc415231745"/>
      <w:r>
        <w:t>2.2.2</w:t>
      </w:r>
      <w:r w:rsidR="00C104E9" w:rsidRPr="0089584B">
        <w:t xml:space="preserve"> SCE</w:t>
      </w:r>
      <w:r w:rsidR="002961ED" w:rsidRPr="0089584B">
        <w:t>’</w:t>
      </w:r>
      <w:r w:rsidR="00C104E9" w:rsidRPr="0089584B">
        <w:t xml:space="preserve">s </w:t>
      </w:r>
      <w:r w:rsidR="00CF6DDD" w:rsidRPr="0089584B">
        <w:t>AMP</w:t>
      </w:r>
      <w:bookmarkEnd w:id="40"/>
    </w:p>
    <w:p w:rsidR="00890830" w:rsidRDefault="00890830" w:rsidP="00890830">
      <w:r>
        <w:t xml:space="preserve">SCE had five AMP contracts in 2014, only two of which were active. Of the active group, both offered day-of notice, but with different event windows (1 to 4, or 1 to 6 hours). However, one of the active contracts, for DO 1-4 Hours, had its entire portfolio transferred to CBP at the end of June. To ensure appropriate accounting for the transferred service accounts, </w:t>
      </w:r>
      <w:r w:rsidR="00F535A0">
        <w:t>Table 2–4</w:t>
      </w:r>
      <w:r>
        <w:t xml:space="preserve"> show</w:t>
      </w:r>
      <w:r w:rsidR="00F535A0">
        <w:t>s</w:t>
      </w:r>
      <w:r>
        <w:t xml:space="preserve"> </w:t>
      </w:r>
      <w:r w:rsidR="00F535A0">
        <w:t xml:space="preserve">the number of </w:t>
      </w:r>
      <w:r>
        <w:t>nominated service accounts for only the DO 1-6 Hour contract, after the transfer of the other contract’s portfolio to CBP (as noted above, the transferred accounts are reflected in Table 2.1 for CBP). Accounts participating in SCE’s AMP may dually enroll in OBMC, RTP, DBP, and Summer Advantage Incentive (Critical Peak Pricing). Settlement baselines are based on individual 10-in-10 baselines, with an optional day-of adjustment of up to 40 percent.</w:t>
      </w:r>
    </w:p>
    <w:p w:rsidR="00086C74" w:rsidRDefault="00086C74" w:rsidP="00086C74"/>
    <w:p w:rsidR="00A15ECD" w:rsidRDefault="00F063F4" w:rsidP="00A15ECD">
      <w:r w:rsidRPr="0089584B">
        <w:t>Nominat</w:t>
      </w:r>
      <w:r w:rsidR="000650F0">
        <w:t xml:space="preserve">ed </w:t>
      </w:r>
      <w:r w:rsidR="00075250">
        <w:t>customer service account</w:t>
      </w:r>
      <w:r w:rsidR="000650F0">
        <w:t>s</w:t>
      </w:r>
      <w:r w:rsidRPr="0089584B">
        <w:t xml:space="preserve"> for </w:t>
      </w:r>
      <w:r w:rsidR="00E34EC1">
        <w:t>AMP</w:t>
      </w:r>
      <w:r w:rsidR="00A15ECD" w:rsidRPr="0089584B">
        <w:t xml:space="preserve"> DO </w:t>
      </w:r>
      <w:r w:rsidRPr="0089584B">
        <w:t xml:space="preserve">are spread over several </w:t>
      </w:r>
      <w:r w:rsidR="00A15ECD" w:rsidRPr="0089584B">
        <w:t xml:space="preserve">industry </w:t>
      </w:r>
      <w:r w:rsidRPr="0089584B">
        <w:t>types</w:t>
      </w:r>
      <w:r w:rsidR="00363EF0">
        <w:t xml:space="preserve">, with </w:t>
      </w:r>
      <w:r w:rsidR="00E474F0">
        <w:t xml:space="preserve">the majority </w:t>
      </w:r>
      <w:r w:rsidR="00363EF0">
        <w:t>in Retail stores</w:t>
      </w:r>
      <w:r w:rsidR="009E4890">
        <w:t>;</w:t>
      </w:r>
      <w:r w:rsidR="00363EF0">
        <w:t xml:space="preserve"> and Wholesale, Transport, and other Utilities</w:t>
      </w:r>
      <w:r w:rsidR="002961ED" w:rsidRPr="0089584B">
        <w:t>.</w:t>
      </w:r>
      <w:r w:rsidR="002961ED">
        <w:t xml:space="preserve"> </w:t>
      </w:r>
    </w:p>
    <w:p w:rsidR="00EB3DCF" w:rsidRPr="00A15ECD" w:rsidRDefault="00EB3DCF" w:rsidP="00A15ECD"/>
    <w:p w:rsidR="00EB3DCF" w:rsidRPr="00D2004F" w:rsidRDefault="00EB3DCF" w:rsidP="00EB3DCF">
      <w:pPr>
        <w:pStyle w:val="TableCaption"/>
        <w:rPr>
          <w:i/>
        </w:rPr>
      </w:pPr>
      <w:bookmarkStart w:id="41" w:name="_Toc414545883"/>
      <w:r w:rsidRPr="00D2004F">
        <w:lastRenderedPageBreak/>
        <w:t xml:space="preserve">Table </w:t>
      </w:r>
      <w:fldSimple w:instr=" STYLEREF 1 \s ">
        <w:r w:rsidR="004A7BE8">
          <w:rPr>
            <w:noProof/>
          </w:rPr>
          <w:t>2</w:t>
        </w:r>
      </w:fldSimple>
      <w:r w:rsidR="0088207A">
        <w:t>–</w:t>
      </w:r>
      <w:r>
        <w:t xml:space="preserve">4: SCE </w:t>
      </w:r>
      <w:r w:rsidR="00D51A2C">
        <w:t>AMP</w:t>
      </w:r>
      <w:r>
        <w:t xml:space="preserve"> Nominat</w:t>
      </w:r>
      <w:r w:rsidR="00B714BF">
        <w:t xml:space="preserve">ed </w:t>
      </w:r>
      <w:r w:rsidR="00890830">
        <w:t>Service A</w:t>
      </w:r>
      <w:r w:rsidR="00595F10">
        <w:t>ccounts</w:t>
      </w:r>
      <w:r w:rsidR="00B714BF">
        <w:t>,</w:t>
      </w:r>
      <w:r w:rsidRPr="00D2004F">
        <w:t xml:space="preserve"> by Industry </w:t>
      </w:r>
      <w:r>
        <w:t>G</w:t>
      </w:r>
      <w:r w:rsidRPr="00D2004F">
        <w:t>roup</w:t>
      </w:r>
      <w:bookmarkEnd w:id="41"/>
    </w:p>
    <w:p w:rsidR="00086C74" w:rsidRDefault="009E71B1" w:rsidP="00E25E79">
      <w:pPr>
        <w:jc w:val="center"/>
      </w:pPr>
      <w:r w:rsidRPr="009E71B1">
        <w:rPr>
          <w:noProof/>
        </w:rPr>
        <w:drawing>
          <wp:inline distT="0" distB="0" distL="0" distR="0" wp14:anchorId="2E93DB33" wp14:editId="794CEF18">
            <wp:extent cx="3482340" cy="2537460"/>
            <wp:effectExtent l="0" t="0" r="381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82340" cy="2537460"/>
                    </a:xfrm>
                    <a:prstGeom prst="rect">
                      <a:avLst/>
                    </a:prstGeom>
                    <a:noFill/>
                    <a:ln>
                      <a:noFill/>
                    </a:ln>
                  </pic:spPr>
                </pic:pic>
              </a:graphicData>
            </a:graphic>
          </wp:inline>
        </w:drawing>
      </w:r>
    </w:p>
    <w:p w:rsidR="00F063F4" w:rsidRPr="00E25E79" w:rsidRDefault="00F063F4" w:rsidP="00E25E79">
      <w:pPr>
        <w:jc w:val="center"/>
      </w:pPr>
    </w:p>
    <w:p w:rsidR="00FF7EC7" w:rsidRDefault="00086C74" w:rsidP="00FF7EC7">
      <w:pPr>
        <w:pStyle w:val="Heading1"/>
      </w:pPr>
      <w:bookmarkStart w:id="42" w:name="_Toc415231746"/>
      <w:r>
        <w:t xml:space="preserve">Study </w:t>
      </w:r>
      <w:r w:rsidR="00FF7EC7">
        <w:t>Methods</w:t>
      </w:r>
      <w:bookmarkEnd w:id="42"/>
    </w:p>
    <w:p w:rsidR="000249A3" w:rsidRDefault="000249A3" w:rsidP="000249A3">
      <w:pPr>
        <w:pStyle w:val="Heading2"/>
      </w:pPr>
      <w:bookmarkStart w:id="43" w:name="_Toc346119218"/>
      <w:bookmarkStart w:id="44" w:name="_Toc415231747"/>
      <w:r>
        <w:t>3.1 Overview</w:t>
      </w:r>
      <w:bookmarkEnd w:id="43"/>
      <w:bookmarkEnd w:id="44"/>
      <w:r>
        <w:t xml:space="preserve"> </w:t>
      </w:r>
    </w:p>
    <w:p w:rsidR="000249A3" w:rsidRPr="000249A3" w:rsidRDefault="00F063F4" w:rsidP="000249A3">
      <w:r>
        <w:t xml:space="preserve">The primary evaluation method used in the </w:t>
      </w:r>
      <w:r w:rsidR="00B74B13" w:rsidRPr="00B74B13">
        <w:rPr>
          <w:i/>
        </w:rPr>
        <w:t>ex-post</w:t>
      </w:r>
      <w:r>
        <w:t xml:space="preserve"> portion of this study involved </w:t>
      </w:r>
      <w:r w:rsidRPr="000249A3">
        <w:t xml:space="preserve">customer-level </w:t>
      </w:r>
      <w:r w:rsidR="000249A3" w:rsidRPr="000249A3">
        <w:t xml:space="preserve">regression </w:t>
      </w:r>
      <w:r w:rsidR="00BE028D">
        <w:t>analysis</w:t>
      </w:r>
      <w:r w:rsidR="000249A3" w:rsidRPr="000249A3">
        <w:t xml:space="preserve"> applied to hourly load data</w:t>
      </w:r>
      <w:r w:rsidR="00BE028D">
        <w:t xml:space="preserve"> to estimate </w:t>
      </w:r>
      <w:r w:rsidR="00BE028D" w:rsidRPr="000249A3">
        <w:t>hourly load impacts</w:t>
      </w:r>
      <w:r w:rsidR="00FF16DA">
        <w:t xml:space="preserve"> for each customer </w:t>
      </w:r>
      <w:r w:rsidR="00075250">
        <w:t xml:space="preserve">service </w:t>
      </w:r>
      <w:r w:rsidR="00FF16DA">
        <w:t>account that was nominated and called for an event</w:t>
      </w:r>
      <w:r w:rsidR="000249A3" w:rsidRPr="000249A3">
        <w:t>. The regression equation</w:t>
      </w:r>
      <w:r w:rsidR="00BE028D">
        <w:t>s model</w:t>
      </w:r>
      <w:r w:rsidR="000249A3" w:rsidRPr="000249A3">
        <w:t xml:space="preserve"> hourly load as a function of a set of variables designed to control for </w:t>
      </w:r>
      <w:r w:rsidR="00E34EC1">
        <w:t xml:space="preserve">the primary </w:t>
      </w:r>
      <w:r w:rsidR="000249A3" w:rsidRPr="000249A3">
        <w:t xml:space="preserve">factors </w:t>
      </w:r>
      <w:r w:rsidR="00E34EC1">
        <w:t>that affect</w:t>
      </w:r>
      <w:r w:rsidR="000249A3" w:rsidRPr="000249A3">
        <w:t xml:space="preserve"> consumers</w:t>
      </w:r>
      <w:r w:rsidR="002961ED">
        <w:t>’</w:t>
      </w:r>
      <w:r w:rsidR="000249A3" w:rsidRPr="000249A3">
        <w:t xml:space="preserve"> hourly demand levels</w:t>
      </w:r>
      <w:r w:rsidR="00E34EC1">
        <w:t>, including called events</w:t>
      </w:r>
      <w:r w:rsidR="000249A3" w:rsidRPr="000249A3">
        <w:t>, such as:</w:t>
      </w:r>
    </w:p>
    <w:p w:rsidR="000249A3" w:rsidRPr="000249A3" w:rsidRDefault="000249A3" w:rsidP="000249A3">
      <w:pPr>
        <w:numPr>
          <w:ilvl w:val="0"/>
          <w:numId w:val="1"/>
        </w:numPr>
        <w:spacing w:before="120"/>
      </w:pPr>
      <w:r w:rsidRPr="00FF16DA">
        <w:rPr>
          <w:i/>
        </w:rPr>
        <w:t>Seasonal and hourly time patterns</w:t>
      </w:r>
      <w:r w:rsidRPr="000249A3">
        <w:t xml:space="preserve"> (</w:t>
      </w:r>
      <w:r w:rsidR="00ED0F45" w:rsidRPr="00ED0F45">
        <w:rPr>
          <w:i/>
        </w:rPr>
        <w:t>e.g.</w:t>
      </w:r>
      <w:r w:rsidRPr="000249A3">
        <w:t>, month, day-of-week, and hour, plus various hour/day-type interactions</w:t>
      </w:r>
      <w:r w:rsidR="00E34EC1">
        <w:t xml:space="preserve"> to allow hourly load patterns to vary by day-type</w:t>
      </w:r>
      <w:r w:rsidRPr="000249A3">
        <w:t>);</w:t>
      </w:r>
    </w:p>
    <w:p w:rsidR="000249A3" w:rsidRPr="000249A3" w:rsidRDefault="000249A3" w:rsidP="000249A3">
      <w:pPr>
        <w:numPr>
          <w:ilvl w:val="0"/>
          <w:numId w:val="1"/>
        </w:numPr>
      </w:pPr>
      <w:r w:rsidRPr="00FF16DA">
        <w:rPr>
          <w:i/>
        </w:rPr>
        <w:t>Weather</w:t>
      </w:r>
      <w:r w:rsidRPr="000249A3">
        <w:t xml:space="preserve">, including hour-specific weather </w:t>
      </w:r>
      <w:r w:rsidR="00E34EC1">
        <w:t>variables</w:t>
      </w:r>
      <w:r w:rsidRPr="000249A3">
        <w:t>;</w:t>
      </w:r>
    </w:p>
    <w:p w:rsidR="000249A3" w:rsidRPr="000249A3" w:rsidRDefault="000249A3" w:rsidP="000249A3">
      <w:pPr>
        <w:numPr>
          <w:ilvl w:val="0"/>
          <w:numId w:val="1"/>
        </w:numPr>
      </w:pPr>
      <w:r w:rsidRPr="00FF16DA">
        <w:rPr>
          <w:i/>
        </w:rPr>
        <w:t>Event variables</w:t>
      </w:r>
      <w:r w:rsidRPr="000249A3">
        <w:t xml:space="preserve">. </w:t>
      </w:r>
      <w:r w:rsidR="00FF16DA">
        <w:t xml:space="preserve">Indicator </w:t>
      </w:r>
      <w:r w:rsidRPr="000249A3">
        <w:t xml:space="preserve">variables </w:t>
      </w:r>
      <w:r w:rsidR="00FF16DA">
        <w:t xml:space="preserve">are </w:t>
      </w:r>
      <w:r w:rsidRPr="000249A3">
        <w:t>included to account for each hour of each event day</w:t>
      </w:r>
      <w:r w:rsidR="00E34EC1">
        <w:t xml:space="preserve">, for all DR programs in which the </w:t>
      </w:r>
      <w:r w:rsidR="00075250">
        <w:t>service account</w:t>
      </w:r>
      <w:r w:rsidR="00E34EC1">
        <w:t xml:space="preserve"> participates</w:t>
      </w:r>
      <w:r w:rsidRPr="000249A3">
        <w:t xml:space="preserve">, </w:t>
      </w:r>
      <w:r w:rsidR="00FF16DA">
        <w:t>which allows</w:t>
      </w:r>
      <w:r w:rsidRPr="000249A3">
        <w:t xml:space="preserve"> estimat</w:t>
      </w:r>
      <w:r w:rsidR="00E34EC1">
        <w:t>ion</w:t>
      </w:r>
      <w:r w:rsidRPr="000249A3">
        <w:t xml:space="preserve"> </w:t>
      </w:r>
      <w:r w:rsidR="00E34EC1">
        <w:t xml:space="preserve">of aggregator program </w:t>
      </w:r>
      <w:r w:rsidRPr="000249A3">
        <w:t xml:space="preserve">load impacts for all hours across </w:t>
      </w:r>
      <w:r w:rsidR="00FF16DA">
        <w:t>each</w:t>
      </w:r>
      <w:r w:rsidRPr="000249A3">
        <w:t xml:space="preserve"> event day</w:t>
      </w:r>
      <w:r w:rsidR="00FF16DA">
        <w:t xml:space="preserve">, for each </w:t>
      </w:r>
      <w:r w:rsidR="00075250">
        <w:t>service account</w:t>
      </w:r>
      <w:r w:rsidR="002961ED">
        <w:t xml:space="preserve">. </w:t>
      </w:r>
    </w:p>
    <w:p w:rsidR="000249A3" w:rsidRPr="000249A3" w:rsidRDefault="000249A3" w:rsidP="000249A3"/>
    <w:p w:rsidR="000249A3" w:rsidRPr="000249A3" w:rsidRDefault="000249A3" w:rsidP="00E34EC1">
      <w:pPr>
        <w:keepNext/>
      </w:pPr>
      <w:r w:rsidRPr="000249A3">
        <w:t xml:space="preserve">The models use the level of hourly demand (kW) as the dependent variable and a separate equation is estimated for each </w:t>
      </w:r>
      <w:r w:rsidR="00075250">
        <w:t>service account</w:t>
      </w:r>
      <w:r w:rsidR="00342597">
        <w:t xml:space="preserve"> that </w:t>
      </w:r>
      <w:r w:rsidR="00E34EC1">
        <w:t>wa</w:t>
      </w:r>
      <w:r w:rsidR="00342597">
        <w:t>s nominat</w:t>
      </w:r>
      <w:r w:rsidR="00342597" w:rsidRPr="000249A3">
        <w:t>ed</w:t>
      </w:r>
      <w:r w:rsidR="00342597">
        <w:t xml:space="preserve"> and called for at least one event</w:t>
      </w:r>
      <w:r w:rsidR="00E34EC1">
        <w:t xml:space="preserve"> in 2014</w:t>
      </w:r>
      <w:r w:rsidRPr="000249A3">
        <w:t xml:space="preserve">. As a result, the </w:t>
      </w:r>
      <w:r w:rsidR="00BE028D">
        <w:t xml:space="preserve">estimated </w:t>
      </w:r>
      <w:r w:rsidRPr="000249A3">
        <w:t xml:space="preserve">coefficients on the event day/hour variables are direct estimates of the </w:t>
      </w:r>
      <w:r w:rsidR="00B74B13" w:rsidRPr="00B74B13">
        <w:rPr>
          <w:i/>
        </w:rPr>
        <w:t>ex-post</w:t>
      </w:r>
      <w:r w:rsidRPr="000249A3">
        <w:t xml:space="preserve"> load impacts</w:t>
      </w:r>
      <w:r w:rsidR="00BE028D">
        <w:t>, and their standard errors indicate the precision of the estimates</w:t>
      </w:r>
      <w:r w:rsidRPr="000249A3">
        <w:t>. For example, a</w:t>
      </w:r>
      <w:r w:rsidR="00342597">
        <w:t>n</w:t>
      </w:r>
      <w:r>
        <w:t xml:space="preserve"> hour-</w:t>
      </w:r>
      <w:r w:rsidRPr="000249A3">
        <w:t>15 event</w:t>
      </w:r>
      <w:r w:rsidR="00E34EC1">
        <w:t>-day</w:t>
      </w:r>
      <w:r w:rsidRPr="000249A3">
        <w:t xml:space="preserve"> coefficient of </w:t>
      </w:r>
      <w:r w:rsidR="00E34EC1">
        <w:t>–</w:t>
      </w:r>
      <w:r w:rsidRPr="000249A3">
        <w:t xml:space="preserve">100 </w:t>
      </w:r>
      <w:r w:rsidR="00E34EC1">
        <w:t>for</w:t>
      </w:r>
      <w:r w:rsidR="00342597">
        <w:t xml:space="preserve"> a particular event </w:t>
      </w:r>
      <w:r>
        <w:t>impl</w:t>
      </w:r>
      <w:r w:rsidR="00342597">
        <w:t>ies</w:t>
      </w:r>
      <w:r>
        <w:t xml:space="preserve"> </w:t>
      </w:r>
      <w:r w:rsidRPr="000249A3">
        <w:t xml:space="preserve">that the </w:t>
      </w:r>
      <w:r w:rsidR="00075250">
        <w:t>service account</w:t>
      </w:r>
      <w:r w:rsidRPr="000249A3">
        <w:t xml:space="preserve"> reduced load by 100 kWh during hour 15 of that event day relative to </w:t>
      </w:r>
      <w:r w:rsidR="00E34EC1">
        <w:t>what its</w:t>
      </w:r>
      <w:r w:rsidRPr="000249A3">
        <w:t xml:space="preserve"> usage in that hour</w:t>
      </w:r>
      <w:r w:rsidR="00E34EC1">
        <w:t xml:space="preserve"> would have been otherwise, under the observed day-type and weather conditions on </w:t>
      </w:r>
      <w:r w:rsidR="00E34EC1">
        <w:lastRenderedPageBreak/>
        <w:t>that day</w:t>
      </w:r>
      <w:r w:rsidRPr="000249A3">
        <w:t>. Weekends and holidays were excluded from the estimation database</w:t>
      </w:r>
      <w:r w:rsidR="00342597">
        <w:t xml:space="preserve"> because aggregator events may be called only on </w:t>
      </w:r>
      <w:r w:rsidR="002E7975">
        <w:t xml:space="preserve">non-holiday </w:t>
      </w:r>
      <w:r w:rsidR="00342597">
        <w:t>weekdays</w:t>
      </w:r>
      <w:r w:rsidRPr="000249A3">
        <w:t xml:space="preserve">.  </w:t>
      </w:r>
    </w:p>
    <w:p w:rsidR="000249A3" w:rsidRPr="000249A3" w:rsidRDefault="000249A3" w:rsidP="000249A3"/>
    <w:p w:rsidR="000249A3" w:rsidRPr="000249A3" w:rsidRDefault="000249A3" w:rsidP="000249A3">
      <w:r w:rsidRPr="000249A3">
        <w:t xml:space="preserve">We tested a variety of weather variables in an attempt to determine which set best explains usage on event-like non-event days. This process and its results are explained in </w:t>
      </w:r>
      <w:r w:rsidR="009309CA">
        <w:t>Appendix A</w:t>
      </w:r>
      <w:r w:rsidRPr="000249A3">
        <w:t>.</w:t>
      </w:r>
      <w:r w:rsidR="009309CA">
        <w:t xml:space="preserve"> The methods used to develop the </w:t>
      </w:r>
      <w:r w:rsidR="00342597">
        <w:rPr>
          <w:i/>
        </w:rPr>
        <w:t>ex-</w:t>
      </w:r>
      <w:r w:rsidR="00ED0F45" w:rsidRPr="00ED0F45">
        <w:rPr>
          <w:i/>
        </w:rPr>
        <w:t>ante</w:t>
      </w:r>
      <w:r w:rsidR="009309CA">
        <w:t xml:space="preserve"> load impact forecasts are described in Section 6.</w:t>
      </w:r>
    </w:p>
    <w:p w:rsidR="000249A3" w:rsidRPr="000249A3" w:rsidRDefault="000249A3" w:rsidP="000249A3">
      <w:pPr>
        <w:pStyle w:val="Heading2"/>
      </w:pPr>
      <w:bookmarkStart w:id="45" w:name="_Toc346119219"/>
      <w:bookmarkStart w:id="46" w:name="_Toc415231748"/>
      <w:r w:rsidRPr="000249A3">
        <w:t xml:space="preserve">3.2 Description of </w:t>
      </w:r>
      <w:r w:rsidR="002E7975">
        <w:t xml:space="preserve">ex-post estimation </w:t>
      </w:r>
      <w:r w:rsidRPr="000249A3">
        <w:t>methods</w:t>
      </w:r>
      <w:bookmarkEnd w:id="45"/>
      <w:bookmarkEnd w:id="46"/>
    </w:p>
    <w:p w:rsidR="000249A3" w:rsidRPr="000249A3" w:rsidRDefault="000249A3" w:rsidP="000249A3">
      <w:pPr>
        <w:pStyle w:val="Heading3"/>
      </w:pPr>
      <w:bookmarkStart w:id="47" w:name="_Toc346119220"/>
      <w:bookmarkStart w:id="48" w:name="_Toc415231749"/>
      <w:r w:rsidRPr="000249A3">
        <w:t>3.2.1 Regression Model</w:t>
      </w:r>
      <w:bookmarkEnd w:id="47"/>
      <w:bookmarkEnd w:id="48"/>
    </w:p>
    <w:p w:rsidR="000249A3" w:rsidRPr="000249A3" w:rsidRDefault="000249A3" w:rsidP="000249A3">
      <w:r w:rsidRPr="000249A3">
        <w:t xml:space="preserve">The model shown below </w:t>
      </w:r>
      <w:r w:rsidR="00342597">
        <w:t>characteriz</w:t>
      </w:r>
      <w:r w:rsidR="002E7975">
        <w:t>es the nature of the regression</w:t>
      </w:r>
      <w:r w:rsidR="00342597">
        <w:t xml:space="preserve"> equations</w:t>
      </w:r>
      <w:r w:rsidR="002E7975">
        <w:t>, which</w:t>
      </w:r>
      <w:r w:rsidR="00342597">
        <w:t xml:space="preserve"> were </w:t>
      </w:r>
      <w:r w:rsidRPr="000249A3">
        <w:t xml:space="preserve">estimated </w:t>
      </w:r>
      <w:r w:rsidR="002E7975" w:rsidRPr="000249A3">
        <w:t xml:space="preserve">separately </w:t>
      </w:r>
      <w:r w:rsidRPr="000249A3">
        <w:t xml:space="preserve">for each </w:t>
      </w:r>
      <w:r w:rsidR="00075250">
        <w:t>service account</w:t>
      </w:r>
      <w:r w:rsidRPr="000249A3">
        <w:t>. Table 3</w:t>
      </w:r>
      <w:r w:rsidR="00BF6C03">
        <w:t>–</w:t>
      </w:r>
      <w:r w:rsidRPr="000249A3">
        <w:t>1 describes the terms included in the equation.</w:t>
      </w:r>
    </w:p>
    <w:p w:rsidR="000249A3" w:rsidRPr="000249A3" w:rsidRDefault="000249A3" w:rsidP="000249A3"/>
    <w:p w:rsidR="000249A3" w:rsidRPr="000249A3" w:rsidRDefault="00C2024F" w:rsidP="000249A3">
      <w:r w:rsidRPr="000249A3">
        <w:rPr>
          <w:position w:val="-134"/>
        </w:rPr>
        <w:object w:dxaOrig="8280" w:dyaOrig="27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41.6pt" o:ole="">
            <v:imagedata r:id="rId20" o:title=""/>
          </v:shape>
          <o:OLEObject Type="Embed" ProgID="Equation.3" ShapeID="_x0000_i1025" DrawAspect="Content" ObjectID="_1489238924" r:id="rId21"/>
        </w:object>
      </w:r>
    </w:p>
    <w:p w:rsidR="000249A3" w:rsidRPr="000249A3" w:rsidRDefault="000249A3" w:rsidP="000249A3"/>
    <w:p w:rsidR="000249A3" w:rsidRPr="00BF6C03" w:rsidRDefault="000249A3" w:rsidP="00BF6C03">
      <w:pPr>
        <w:pStyle w:val="TableCaption"/>
      </w:pPr>
      <w:bookmarkStart w:id="49" w:name="_Toc346119266"/>
      <w:bookmarkStart w:id="50" w:name="_Toc414545884"/>
      <w:r w:rsidRPr="00BF6C03">
        <w:lastRenderedPageBreak/>
        <w:t>Table 3</w:t>
      </w:r>
      <w:r w:rsidR="00BF6C03">
        <w:t>–</w:t>
      </w:r>
      <w:r w:rsidRPr="00BF6C03">
        <w:t xml:space="preserve">1: Descriptions of Terms included in the </w:t>
      </w:r>
      <w:r w:rsidR="007D60F9" w:rsidRPr="007D60F9">
        <w:rPr>
          <w:i/>
        </w:rPr>
        <w:t>Ex-Post</w:t>
      </w:r>
      <w:r w:rsidRPr="00BF6C03">
        <w:t xml:space="preserve"> Regression Equation</w:t>
      </w:r>
      <w:bookmarkEnd w:id="49"/>
      <w:bookmarkEnd w:id="50"/>
    </w:p>
    <w:tbl>
      <w:tblPr>
        <w:tblW w:w="0" w:type="auto"/>
        <w:jc w:val="center"/>
        <w:tblLook w:val="01E0" w:firstRow="1" w:lastRow="1" w:firstColumn="1" w:lastColumn="1" w:noHBand="0" w:noVBand="0"/>
      </w:tblPr>
      <w:tblGrid>
        <w:gridCol w:w="1891"/>
        <w:gridCol w:w="6739"/>
      </w:tblGrid>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99CCFF"/>
            <w:vAlign w:val="center"/>
          </w:tcPr>
          <w:p w:rsidR="000249A3" w:rsidRPr="00077984" w:rsidRDefault="000249A3" w:rsidP="00077984">
            <w:pPr>
              <w:keepNext/>
              <w:keepLines/>
              <w:jc w:val="center"/>
              <w:rPr>
                <w:rFonts w:cs="Arial"/>
                <w:szCs w:val="20"/>
              </w:rPr>
            </w:pPr>
            <w:r w:rsidRPr="00077984">
              <w:rPr>
                <w:rFonts w:cs="Arial"/>
                <w:szCs w:val="20"/>
              </w:rPr>
              <w:t>Variable Name / Term</w:t>
            </w:r>
          </w:p>
        </w:tc>
        <w:tc>
          <w:tcPr>
            <w:tcW w:w="0" w:type="auto"/>
            <w:tcBorders>
              <w:top w:val="single" w:sz="4" w:space="0" w:color="auto"/>
              <w:left w:val="single" w:sz="4" w:space="0" w:color="auto"/>
              <w:bottom w:val="single" w:sz="4" w:space="0" w:color="auto"/>
              <w:right w:val="single" w:sz="4" w:space="0" w:color="auto"/>
            </w:tcBorders>
            <w:shd w:val="clear" w:color="auto" w:fill="99CCFF"/>
            <w:vAlign w:val="center"/>
          </w:tcPr>
          <w:p w:rsidR="000249A3" w:rsidRPr="00077984" w:rsidRDefault="000249A3" w:rsidP="00077984">
            <w:pPr>
              <w:keepNext/>
              <w:keepLines/>
              <w:jc w:val="center"/>
              <w:rPr>
                <w:rFonts w:cs="Arial"/>
                <w:szCs w:val="20"/>
              </w:rPr>
            </w:pPr>
            <w:r w:rsidRPr="00077984">
              <w:rPr>
                <w:rFonts w:cs="Arial"/>
                <w:szCs w:val="20"/>
              </w:rPr>
              <w:t>Variable / Term Description</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C2024F" w:rsidRDefault="000249A3" w:rsidP="00077984">
            <w:pPr>
              <w:keepNext/>
              <w:keepLines/>
              <w:jc w:val="center"/>
              <w:rPr>
                <w:rFonts w:cs="Arial"/>
                <w:i/>
                <w:szCs w:val="20"/>
              </w:rPr>
            </w:pPr>
            <w:r w:rsidRPr="00C2024F">
              <w:rPr>
                <w:rFonts w:cs="Arial"/>
                <w:i/>
                <w:szCs w:val="20"/>
              </w:rPr>
              <w:t>Q</w:t>
            </w:r>
            <w:r w:rsidRPr="00C2024F">
              <w:rPr>
                <w:rFonts w:cs="Arial"/>
                <w:i/>
                <w:szCs w:val="20"/>
                <w:vertAlign w:val="subscript"/>
              </w:rPr>
              <w:t>t</w:t>
            </w:r>
            <w:r w:rsidR="00C2024F" w:rsidRPr="00C2024F">
              <w:rPr>
                <w:rFonts w:cs="Arial"/>
                <w:i/>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342597">
            <w:pPr>
              <w:keepNext/>
              <w:keepLines/>
              <w:rPr>
                <w:rFonts w:cs="Arial"/>
                <w:szCs w:val="20"/>
              </w:rPr>
            </w:pPr>
            <w:r>
              <w:rPr>
                <w:rFonts w:cs="Arial"/>
                <w:szCs w:val="20"/>
              </w:rPr>
              <w:t>T</w:t>
            </w:r>
            <w:r w:rsidR="000249A3" w:rsidRPr="00077984">
              <w:rPr>
                <w:rFonts w:cs="Arial"/>
                <w:szCs w:val="20"/>
              </w:rPr>
              <w:t xml:space="preserve">he demand in hour </w:t>
            </w:r>
            <w:r w:rsidR="000249A3" w:rsidRPr="00C2024F">
              <w:rPr>
                <w:rFonts w:cs="Arial"/>
                <w:i/>
                <w:szCs w:val="20"/>
              </w:rPr>
              <w:t>t</w:t>
            </w:r>
            <w:r w:rsidR="00363EF0">
              <w:rPr>
                <w:rFonts w:cs="Arial"/>
                <w:szCs w:val="20"/>
              </w:rPr>
              <w:t xml:space="preserve">, </w:t>
            </w:r>
            <w:r w:rsidR="00C2024F">
              <w:rPr>
                <w:rFonts w:cs="Arial"/>
                <w:szCs w:val="20"/>
              </w:rPr>
              <w:t xml:space="preserve">on day </w:t>
            </w:r>
            <w:r w:rsidR="00C2024F" w:rsidRPr="00C2024F">
              <w:rPr>
                <w:rFonts w:cs="Arial"/>
                <w:i/>
                <w:szCs w:val="20"/>
              </w:rPr>
              <w:t>d</w:t>
            </w:r>
            <w:r w:rsidR="00C2024F">
              <w:rPr>
                <w:rFonts w:cs="Arial"/>
                <w:szCs w:val="20"/>
              </w:rPr>
              <w:t xml:space="preserve"> </w:t>
            </w:r>
            <w:r w:rsidR="000249A3" w:rsidRPr="00077984">
              <w:rPr>
                <w:rFonts w:cs="Arial"/>
                <w:szCs w:val="20"/>
              </w:rPr>
              <w:t xml:space="preserve">for a customer </w:t>
            </w:r>
            <w:r w:rsidR="00342597">
              <w:rPr>
                <w:rFonts w:cs="Arial"/>
                <w:szCs w:val="20"/>
              </w:rPr>
              <w:t>nominated</w:t>
            </w:r>
            <w:r w:rsidR="000249A3" w:rsidRPr="00077984">
              <w:rPr>
                <w:rFonts w:cs="Arial"/>
                <w:szCs w:val="20"/>
              </w:rPr>
              <w:t xml:space="preserve"> </w:t>
            </w:r>
            <w:r w:rsidR="00342597">
              <w:rPr>
                <w:rFonts w:cs="Arial"/>
                <w:szCs w:val="20"/>
              </w:rPr>
              <w:t>to</w:t>
            </w:r>
            <w:r w:rsidR="000249A3" w:rsidRPr="00077984">
              <w:rPr>
                <w:rFonts w:cs="Arial"/>
                <w:szCs w:val="20"/>
              </w:rPr>
              <w:t xml:space="preserve"> </w:t>
            </w:r>
            <w:r w:rsidR="00E867E4">
              <w:rPr>
                <w:rFonts w:cs="Arial"/>
                <w:szCs w:val="20"/>
              </w:rPr>
              <w:t>the aggregator program</w:t>
            </w:r>
            <w:r w:rsidR="000249A3" w:rsidRPr="00077984">
              <w:rPr>
                <w:rFonts w:cs="Arial"/>
                <w:szCs w:val="20"/>
              </w:rPr>
              <w:t xml:space="preserve"> prior to the last event date</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077984">
            <w:pPr>
              <w:keepNext/>
              <w:keepLines/>
              <w:jc w:val="center"/>
              <w:rPr>
                <w:rFonts w:cs="Arial"/>
                <w:szCs w:val="20"/>
              </w:rPr>
            </w:pPr>
            <w:r w:rsidRPr="00077984">
              <w:rPr>
                <w:rFonts w:cs="Arial"/>
                <w:szCs w:val="20"/>
              </w:rPr>
              <w:t>The various b</w:t>
            </w:r>
            <w:r w:rsidR="002961ED" w:rsidRPr="00077984">
              <w:rPr>
                <w:rFonts w:cs="Arial"/>
                <w:szCs w:val="20"/>
              </w:rPr>
              <w:t>’</w:t>
            </w:r>
            <w:r w:rsidRPr="00077984">
              <w:rPr>
                <w:rFonts w:cs="Arial"/>
                <w:szCs w:val="20"/>
              </w:rPr>
              <w:t xml:space="preserve">s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077984">
            <w:pPr>
              <w:keepNext/>
              <w:keepLines/>
              <w:rPr>
                <w:rFonts w:cs="Arial"/>
                <w:szCs w:val="20"/>
              </w:rPr>
            </w:pPr>
            <w:r w:rsidRPr="00077984">
              <w:rPr>
                <w:rFonts w:cs="Arial"/>
                <w:szCs w:val="20"/>
              </w:rPr>
              <w:t>The estimated parameters</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C2024F" w:rsidRDefault="000249A3" w:rsidP="00077984">
            <w:pPr>
              <w:keepNext/>
              <w:keepLines/>
              <w:jc w:val="center"/>
              <w:rPr>
                <w:rFonts w:cs="Arial"/>
                <w:i/>
                <w:szCs w:val="20"/>
              </w:rPr>
            </w:pPr>
            <w:r w:rsidRPr="00C2024F">
              <w:rPr>
                <w:rFonts w:cs="Arial"/>
                <w:i/>
                <w:szCs w:val="20"/>
              </w:rPr>
              <w:t>h</w:t>
            </w:r>
            <w:r w:rsidRPr="00C2024F">
              <w:rPr>
                <w:rFonts w:cs="Arial"/>
                <w:i/>
                <w:szCs w:val="20"/>
                <w:vertAlign w:val="subscript"/>
              </w:rPr>
              <w:t>i,t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C2024F">
            <w:pPr>
              <w:keepNext/>
              <w:keepLines/>
              <w:rPr>
                <w:rFonts w:cs="Arial"/>
                <w:szCs w:val="20"/>
              </w:rPr>
            </w:pPr>
            <w:r>
              <w:rPr>
                <w:rFonts w:cs="Arial"/>
                <w:szCs w:val="20"/>
              </w:rPr>
              <w:t>An indicator</w:t>
            </w:r>
            <w:r w:rsidR="000249A3" w:rsidRPr="00077984">
              <w:rPr>
                <w:rFonts w:cs="Arial"/>
                <w:szCs w:val="20"/>
              </w:rPr>
              <w:t xml:space="preserve"> variable for hour </w:t>
            </w:r>
            <w:r w:rsidR="00C2024F" w:rsidRPr="00C2024F">
              <w:rPr>
                <w:rFonts w:cs="Arial"/>
                <w:i/>
                <w:szCs w:val="20"/>
              </w:rPr>
              <w:t>i</w:t>
            </w:r>
            <w:r w:rsidR="00C2024F">
              <w:rPr>
                <w:rFonts w:cs="Arial"/>
                <w:szCs w:val="20"/>
              </w:rPr>
              <w:t xml:space="preserve"> (</w:t>
            </w:r>
            <w:r w:rsidR="00C2024F">
              <w:rPr>
                <w:rFonts w:cs="Arial"/>
                <w:i/>
                <w:szCs w:val="20"/>
              </w:rPr>
              <w:t>i.e.</w:t>
            </w:r>
            <w:r w:rsidR="00C2024F">
              <w:rPr>
                <w:rFonts w:cs="Arial"/>
                <w:szCs w:val="20"/>
              </w:rPr>
              <w:t>, h</w:t>
            </w:r>
            <w:r w:rsidR="00C2024F" w:rsidRPr="00C2024F">
              <w:rPr>
                <w:rFonts w:cs="Arial"/>
                <w:szCs w:val="20"/>
                <w:vertAlign w:val="subscript"/>
              </w:rPr>
              <w:t>i,t</w:t>
            </w:r>
            <w:r w:rsidR="00C2024F">
              <w:rPr>
                <w:rFonts w:cs="Arial"/>
                <w:szCs w:val="20"/>
              </w:rPr>
              <w:t xml:space="preserve"> = 1 if </w:t>
            </w:r>
            <w:r w:rsidR="00C2024F" w:rsidRPr="00C2024F">
              <w:rPr>
                <w:rFonts w:cs="Arial"/>
                <w:i/>
                <w:szCs w:val="20"/>
              </w:rPr>
              <w:t>i</w:t>
            </w:r>
            <w:r w:rsidR="00C2024F">
              <w:rPr>
                <w:rFonts w:cs="Arial"/>
                <w:szCs w:val="20"/>
              </w:rPr>
              <w:t>=</w:t>
            </w:r>
            <w:r w:rsidR="00C2024F" w:rsidRPr="00C2024F">
              <w:rPr>
                <w:rFonts w:cs="Arial"/>
                <w:i/>
                <w:szCs w:val="20"/>
              </w:rPr>
              <w:t>t</w:t>
            </w:r>
            <w:r w:rsidR="00C2024F">
              <w:rPr>
                <w:rFonts w:cs="Arial"/>
                <w:szCs w:val="20"/>
              </w:rPr>
              <w:t>, and 0 otherwise</w:t>
            </w:r>
            <w:r w:rsidR="00C2024F">
              <w:rPr>
                <w:rFonts w:cs="Arial"/>
                <w:i/>
                <w:szCs w:val="20"/>
              </w:rPr>
              <w:t xml:space="preserve"> </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077984">
            <w:pPr>
              <w:keepNext/>
              <w:keepLines/>
              <w:jc w:val="center"/>
              <w:rPr>
                <w:rFonts w:cs="Arial"/>
                <w:szCs w:val="20"/>
              </w:rPr>
            </w:pPr>
            <w:r w:rsidRPr="00077984">
              <w:rPr>
                <w:rFonts w:cs="Arial"/>
                <w:szCs w:val="20"/>
              </w:rPr>
              <w:t>AGG</w:t>
            </w:r>
            <w:r w:rsidRPr="00077984">
              <w:rPr>
                <w:rFonts w:cs="Arial"/>
                <w:szCs w:val="20"/>
                <w:vertAlign w:val="subscript"/>
              </w:rPr>
              <w:t>t</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CF6DDD">
            <w:pPr>
              <w:keepNext/>
              <w:keepLines/>
              <w:rPr>
                <w:rFonts w:cs="Arial"/>
                <w:szCs w:val="20"/>
              </w:rPr>
            </w:pPr>
            <w:r>
              <w:rPr>
                <w:rFonts w:cs="Arial"/>
                <w:szCs w:val="20"/>
              </w:rPr>
              <w:t>A</w:t>
            </w:r>
            <w:r w:rsidR="000249A3" w:rsidRPr="00077984">
              <w:rPr>
                <w:rFonts w:cs="Arial"/>
                <w:szCs w:val="20"/>
              </w:rPr>
              <w:t xml:space="preserve">n indicator variable for </w:t>
            </w:r>
            <w:r w:rsidR="00C2024F">
              <w:rPr>
                <w:rFonts w:cs="Arial"/>
                <w:szCs w:val="20"/>
              </w:rPr>
              <w:t xml:space="preserve">aggregator </w:t>
            </w:r>
            <w:r w:rsidR="000249A3" w:rsidRPr="00077984">
              <w:rPr>
                <w:rFonts w:cs="Arial"/>
                <w:szCs w:val="20"/>
              </w:rPr>
              <w:t>program event days</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077984">
            <w:pPr>
              <w:keepNext/>
              <w:keepLines/>
              <w:jc w:val="center"/>
              <w:rPr>
                <w:rFonts w:cs="Arial"/>
                <w:szCs w:val="20"/>
              </w:rPr>
            </w:pPr>
            <w:r w:rsidRPr="00077984">
              <w:rPr>
                <w:rFonts w:cs="Arial"/>
                <w:szCs w:val="20"/>
              </w:rPr>
              <w:t>Weather</w:t>
            </w:r>
            <w:r w:rsidRPr="00077984">
              <w:rPr>
                <w:rFonts w:cs="Arial"/>
                <w:szCs w:val="20"/>
                <w:vertAlign w:val="subscript"/>
              </w:rPr>
              <w:t>t</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rPr>
                <w:rFonts w:cs="Arial"/>
                <w:szCs w:val="20"/>
              </w:rPr>
            </w:pPr>
            <w:r w:rsidRPr="00077984">
              <w:rPr>
                <w:rFonts w:cs="Arial"/>
                <w:szCs w:val="20"/>
              </w:rPr>
              <w:t xml:space="preserve">The weather variables selected </w:t>
            </w:r>
            <w:r w:rsidR="00C2024F">
              <w:rPr>
                <w:rFonts w:cs="Arial"/>
                <w:szCs w:val="20"/>
              </w:rPr>
              <w:t>in</w:t>
            </w:r>
            <w:r w:rsidRPr="00077984">
              <w:rPr>
                <w:rFonts w:cs="Arial"/>
                <w:szCs w:val="20"/>
              </w:rPr>
              <w:t xml:space="preserve"> our model screening process </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077984">
            <w:pPr>
              <w:keepNext/>
              <w:keepLines/>
              <w:jc w:val="center"/>
              <w:rPr>
                <w:rFonts w:cs="Arial"/>
                <w:szCs w:val="20"/>
              </w:rPr>
            </w:pPr>
            <w:r w:rsidRPr="00077984">
              <w:rPr>
                <w:rFonts w:cs="Arial"/>
                <w:szCs w:val="20"/>
              </w:rPr>
              <w: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077984">
            <w:pPr>
              <w:keepNext/>
              <w:keepLines/>
              <w:rPr>
                <w:rFonts w:cs="Arial"/>
                <w:szCs w:val="20"/>
              </w:rPr>
            </w:pPr>
            <w:r w:rsidRPr="00077984">
              <w:rPr>
                <w:rFonts w:cs="Arial"/>
                <w:szCs w:val="20"/>
              </w:rPr>
              <w:t xml:space="preserve">The number of event days that occurred during the program year </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jc w:val="center"/>
              <w:rPr>
                <w:rFonts w:cs="Arial"/>
                <w:szCs w:val="20"/>
              </w:rPr>
            </w:pPr>
            <w:r w:rsidRPr="00077984">
              <w:rPr>
                <w:rFonts w:cs="Arial"/>
                <w:szCs w:val="20"/>
              </w:rPr>
              <w:t>MornLoad</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2024F" w:rsidP="00C2024F">
            <w:pPr>
              <w:keepNext/>
              <w:keepLines/>
              <w:rPr>
                <w:rFonts w:cs="Arial"/>
                <w:szCs w:val="20"/>
              </w:rPr>
            </w:pPr>
            <w:r>
              <w:rPr>
                <w:rFonts w:cs="Arial"/>
                <w:szCs w:val="20"/>
              </w:rPr>
              <w:t>T</w:t>
            </w:r>
            <w:r w:rsidR="000249A3" w:rsidRPr="00077984">
              <w:rPr>
                <w:rFonts w:cs="Arial"/>
                <w:szCs w:val="20"/>
              </w:rPr>
              <w:t>he average of day</w:t>
            </w:r>
            <w:r w:rsidR="00342597">
              <w:rPr>
                <w:rFonts w:cs="Arial"/>
                <w:szCs w:val="20"/>
              </w:rPr>
              <w:t xml:space="preserve"> </w:t>
            </w:r>
            <w:r>
              <w:rPr>
                <w:rFonts w:cs="Arial"/>
                <w:i/>
                <w:szCs w:val="20"/>
              </w:rPr>
              <w:t>d</w:t>
            </w:r>
            <w:r w:rsidR="002961ED" w:rsidRPr="00077984">
              <w:rPr>
                <w:rFonts w:cs="Arial"/>
                <w:szCs w:val="20"/>
              </w:rPr>
              <w:t>’</w:t>
            </w:r>
            <w:r w:rsidR="000249A3" w:rsidRPr="00077984">
              <w:rPr>
                <w:rFonts w:cs="Arial"/>
                <w:szCs w:val="20"/>
              </w:rPr>
              <w:t>s load in hours 1 through 10</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jc w:val="center"/>
              <w:rPr>
                <w:rFonts w:cs="Arial"/>
                <w:szCs w:val="20"/>
              </w:rPr>
            </w:pPr>
            <w:r w:rsidRPr="00077984">
              <w:rPr>
                <w:rFonts w:cs="Arial"/>
                <w:szCs w:val="20"/>
              </w:rPr>
              <w:t>OtherEvt</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C2024F">
            <w:pPr>
              <w:keepNext/>
              <w:keepLines/>
              <w:rPr>
                <w:rFonts w:cs="Arial"/>
                <w:szCs w:val="20"/>
              </w:rPr>
            </w:pPr>
            <w:r>
              <w:rPr>
                <w:rFonts w:cs="Arial"/>
                <w:szCs w:val="20"/>
              </w:rPr>
              <w:t>E</w:t>
            </w:r>
            <w:r w:rsidR="000249A3" w:rsidRPr="00077984">
              <w:rPr>
                <w:rFonts w:cs="Arial"/>
                <w:szCs w:val="20"/>
              </w:rPr>
              <w:t xml:space="preserve">quals one </w:t>
            </w:r>
            <w:r w:rsidR="00C2024F">
              <w:rPr>
                <w:rFonts w:cs="Arial"/>
                <w:szCs w:val="20"/>
              </w:rPr>
              <w:t>o</w:t>
            </w:r>
            <w:r w:rsidR="000249A3" w:rsidRPr="00077984">
              <w:rPr>
                <w:rFonts w:cs="Arial"/>
                <w:szCs w:val="20"/>
              </w:rPr>
              <w:t xml:space="preserve">n event </w:t>
            </w:r>
            <w:r w:rsidR="00C2024F">
              <w:rPr>
                <w:rFonts w:cs="Arial"/>
                <w:szCs w:val="20"/>
              </w:rPr>
              <w:t xml:space="preserve">days </w:t>
            </w:r>
            <w:r w:rsidR="000249A3" w:rsidRPr="00077984">
              <w:rPr>
                <w:rFonts w:cs="Arial"/>
                <w:szCs w:val="20"/>
              </w:rPr>
              <w:t xml:space="preserve">of other demand response programs in which the customer is enrolled </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jc w:val="center"/>
              <w:rPr>
                <w:rFonts w:cs="Arial"/>
                <w:szCs w:val="20"/>
              </w:rPr>
            </w:pPr>
            <w:r w:rsidRPr="00077984">
              <w:rPr>
                <w:rFonts w:cs="Arial"/>
                <w:szCs w:val="20"/>
              </w:rPr>
              <w:t>MON</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077984">
            <w:pPr>
              <w:keepNext/>
              <w:keepLines/>
              <w:rPr>
                <w:rFonts w:cs="Arial"/>
                <w:szCs w:val="20"/>
              </w:rPr>
            </w:pPr>
            <w:r>
              <w:rPr>
                <w:rFonts w:cs="Arial"/>
                <w:szCs w:val="20"/>
              </w:rPr>
              <w:t>An indicator</w:t>
            </w:r>
            <w:r w:rsidRPr="00077984">
              <w:rPr>
                <w:rFonts w:cs="Arial"/>
                <w:szCs w:val="20"/>
              </w:rPr>
              <w:t xml:space="preserve"> variable</w:t>
            </w:r>
            <w:r w:rsidR="000249A3" w:rsidRPr="00077984">
              <w:rPr>
                <w:rFonts w:cs="Arial"/>
                <w:szCs w:val="20"/>
              </w:rPr>
              <w:t xml:space="preserve"> for Monday</w:t>
            </w:r>
            <w:r w:rsidR="00C2024F">
              <w:rPr>
                <w:rFonts w:cs="Arial"/>
                <w:szCs w:val="20"/>
              </w:rPr>
              <w:t>s</w:t>
            </w:r>
            <w:r w:rsidR="000249A3" w:rsidRPr="00077984">
              <w:rPr>
                <w:rFonts w:cs="Arial"/>
                <w:szCs w:val="20"/>
              </w:rPr>
              <w:t xml:space="preserve"> </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jc w:val="center"/>
              <w:rPr>
                <w:rFonts w:cs="Arial"/>
                <w:szCs w:val="20"/>
              </w:rPr>
            </w:pPr>
            <w:r w:rsidRPr="00077984">
              <w:rPr>
                <w:rFonts w:cs="Arial"/>
                <w:szCs w:val="20"/>
              </w:rPr>
              <w:t>FRI</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077984">
            <w:pPr>
              <w:keepNext/>
              <w:keepLines/>
              <w:rPr>
                <w:rFonts w:cs="Arial"/>
                <w:szCs w:val="20"/>
              </w:rPr>
            </w:pPr>
            <w:r>
              <w:rPr>
                <w:rFonts w:cs="Arial"/>
                <w:szCs w:val="20"/>
              </w:rPr>
              <w:t>An indicator</w:t>
            </w:r>
            <w:r w:rsidRPr="00077984">
              <w:rPr>
                <w:rFonts w:cs="Arial"/>
                <w:szCs w:val="20"/>
              </w:rPr>
              <w:t xml:space="preserve"> variable </w:t>
            </w:r>
            <w:r w:rsidR="000249A3" w:rsidRPr="00077984">
              <w:rPr>
                <w:rFonts w:cs="Arial"/>
                <w:szCs w:val="20"/>
              </w:rPr>
              <w:t>for Friday</w:t>
            </w:r>
            <w:r w:rsidR="00C2024F">
              <w:rPr>
                <w:rFonts w:cs="Arial"/>
                <w:szCs w:val="20"/>
              </w:rPr>
              <w:t>s</w:t>
            </w:r>
            <w:r w:rsidR="000249A3" w:rsidRPr="00077984">
              <w:rPr>
                <w:rFonts w:cs="Arial"/>
                <w:szCs w:val="20"/>
              </w:rPr>
              <w:t xml:space="preserve"> </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jc w:val="center"/>
              <w:rPr>
                <w:rFonts w:cs="Arial"/>
                <w:szCs w:val="20"/>
              </w:rPr>
            </w:pPr>
            <w:r w:rsidRPr="00077984">
              <w:rPr>
                <w:rFonts w:cs="Arial"/>
                <w:szCs w:val="20"/>
              </w:rPr>
              <w:t>SUMMER</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077984">
            <w:pPr>
              <w:keepNext/>
              <w:keepLines/>
              <w:rPr>
                <w:rFonts w:cs="Arial"/>
                <w:szCs w:val="20"/>
              </w:rPr>
            </w:pPr>
            <w:r>
              <w:rPr>
                <w:rFonts w:cs="Arial"/>
                <w:szCs w:val="20"/>
              </w:rPr>
              <w:t>An indicator</w:t>
            </w:r>
            <w:r w:rsidRPr="00077984">
              <w:rPr>
                <w:rFonts w:cs="Arial"/>
                <w:szCs w:val="20"/>
              </w:rPr>
              <w:t xml:space="preserve"> variable </w:t>
            </w:r>
            <w:r w:rsidR="000249A3" w:rsidRPr="00077984">
              <w:rPr>
                <w:rFonts w:cs="Arial"/>
                <w:szCs w:val="20"/>
              </w:rPr>
              <w:t>for the summer pricing season</w:t>
            </w:r>
            <w:r w:rsidR="000249A3" w:rsidRPr="00077984">
              <w:rPr>
                <w:rStyle w:val="FootnoteReference"/>
                <w:szCs w:val="20"/>
              </w:rPr>
              <w:footnoteReference w:id="11"/>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jc w:val="center"/>
              <w:rPr>
                <w:rFonts w:cs="Arial"/>
                <w:szCs w:val="20"/>
              </w:rPr>
            </w:pPr>
            <w:r w:rsidRPr="00077984">
              <w:rPr>
                <w:rFonts w:cs="Arial"/>
                <w:szCs w:val="20"/>
              </w:rPr>
              <w:t>DTYPE</w:t>
            </w:r>
            <w:r w:rsidRPr="00077984">
              <w:rPr>
                <w:rFonts w:cs="Arial"/>
                <w:szCs w:val="20"/>
                <w:vertAlign w:val="subscript"/>
              </w:rPr>
              <w:t>i,</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CF6DDD">
            <w:pPr>
              <w:keepNext/>
              <w:keepLines/>
              <w:rPr>
                <w:rFonts w:cs="Arial"/>
                <w:szCs w:val="20"/>
              </w:rPr>
            </w:pPr>
            <w:r>
              <w:rPr>
                <w:rFonts w:cs="Arial"/>
                <w:szCs w:val="20"/>
              </w:rPr>
              <w:t>A</w:t>
            </w:r>
            <w:r w:rsidR="000249A3" w:rsidRPr="00077984">
              <w:rPr>
                <w:rFonts w:cs="Arial"/>
                <w:szCs w:val="20"/>
              </w:rPr>
              <w:t xml:space="preserve"> series of </w:t>
            </w:r>
            <w:r>
              <w:rPr>
                <w:rFonts w:cs="Arial"/>
                <w:szCs w:val="20"/>
              </w:rPr>
              <w:t>indicator</w:t>
            </w:r>
            <w:r w:rsidRPr="00077984">
              <w:rPr>
                <w:rFonts w:cs="Arial"/>
                <w:szCs w:val="20"/>
              </w:rPr>
              <w:t xml:space="preserve"> variable</w:t>
            </w:r>
            <w:r>
              <w:rPr>
                <w:rFonts w:cs="Arial"/>
                <w:szCs w:val="20"/>
              </w:rPr>
              <w:t>s</w:t>
            </w:r>
            <w:r w:rsidRPr="00077984">
              <w:rPr>
                <w:rFonts w:cs="Arial"/>
                <w:szCs w:val="20"/>
              </w:rPr>
              <w:t xml:space="preserve"> </w:t>
            </w:r>
            <w:r w:rsidR="000249A3" w:rsidRPr="00077984">
              <w:rPr>
                <w:rFonts w:cs="Arial"/>
                <w:szCs w:val="20"/>
              </w:rPr>
              <w:t>for each day of the week</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C2024F">
            <w:pPr>
              <w:keepNext/>
              <w:keepLines/>
              <w:jc w:val="center"/>
              <w:rPr>
                <w:rFonts w:cs="Arial"/>
                <w:szCs w:val="20"/>
              </w:rPr>
            </w:pPr>
            <w:r w:rsidRPr="00077984">
              <w:rPr>
                <w:rFonts w:cs="Arial"/>
                <w:szCs w:val="20"/>
              </w:rPr>
              <w:t>MONTH</w:t>
            </w:r>
            <w:r w:rsidRPr="00077984">
              <w:rPr>
                <w:rFonts w:cs="Arial"/>
                <w:szCs w:val="20"/>
                <w:vertAlign w:val="subscript"/>
              </w:rPr>
              <w:t>i,</w:t>
            </w:r>
            <w:r w:rsidR="00C2024F">
              <w:rPr>
                <w:rFonts w:cs="Arial"/>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CF6DDD" w:rsidP="00CF6DDD">
            <w:pPr>
              <w:keepNext/>
              <w:keepLines/>
              <w:rPr>
                <w:rFonts w:cs="Arial"/>
                <w:szCs w:val="20"/>
              </w:rPr>
            </w:pPr>
            <w:r>
              <w:rPr>
                <w:rFonts w:cs="Arial"/>
                <w:szCs w:val="20"/>
              </w:rPr>
              <w:t>A</w:t>
            </w:r>
            <w:r w:rsidR="000249A3" w:rsidRPr="00077984">
              <w:rPr>
                <w:rFonts w:cs="Arial"/>
                <w:szCs w:val="20"/>
              </w:rPr>
              <w:t xml:space="preserve"> series of </w:t>
            </w:r>
            <w:r>
              <w:rPr>
                <w:rFonts w:cs="Arial"/>
                <w:szCs w:val="20"/>
              </w:rPr>
              <w:t>indicator</w:t>
            </w:r>
            <w:r w:rsidRPr="00077984">
              <w:rPr>
                <w:rFonts w:cs="Arial"/>
                <w:szCs w:val="20"/>
              </w:rPr>
              <w:t xml:space="preserve"> </w:t>
            </w:r>
            <w:r w:rsidR="000249A3" w:rsidRPr="00077984">
              <w:rPr>
                <w:rFonts w:cs="Arial"/>
                <w:szCs w:val="20"/>
              </w:rPr>
              <w:t xml:space="preserve">variables for each month </w:t>
            </w:r>
          </w:p>
        </w:tc>
      </w:tr>
      <w:tr w:rsidR="000249A3" w:rsidRPr="000249A3" w:rsidTr="00CF6D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C2024F" w:rsidRDefault="000249A3" w:rsidP="00077984">
            <w:pPr>
              <w:keepNext/>
              <w:keepLines/>
              <w:jc w:val="center"/>
              <w:rPr>
                <w:rFonts w:cs="Arial"/>
                <w:i/>
                <w:szCs w:val="20"/>
              </w:rPr>
            </w:pPr>
            <w:r w:rsidRPr="00C2024F">
              <w:rPr>
                <w:rFonts w:cs="Arial"/>
                <w:i/>
                <w:szCs w:val="20"/>
              </w:rPr>
              <w:t>e</w:t>
            </w:r>
            <w:r w:rsidRPr="00C2024F">
              <w:rPr>
                <w:rFonts w:cs="Arial"/>
                <w:i/>
                <w:szCs w:val="20"/>
                <w:vertAlign w:val="subscript"/>
              </w:rPr>
              <w:t>t</w:t>
            </w:r>
            <w:r w:rsidR="00C2024F" w:rsidRPr="00C2024F">
              <w:rPr>
                <w:rFonts w:cs="Arial"/>
                <w:i/>
                <w:szCs w:val="20"/>
                <w:vertAlign w:val="subscript"/>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49A3" w:rsidRPr="00077984" w:rsidRDefault="000249A3" w:rsidP="00077984">
            <w:pPr>
              <w:keepNext/>
              <w:keepLines/>
              <w:rPr>
                <w:rFonts w:cs="Arial"/>
                <w:szCs w:val="20"/>
              </w:rPr>
            </w:pPr>
            <w:r w:rsidRPr="00077984">
              <w:rPr>
                <w:rFonts w:cs="Arial"/>
                <w:szCs w:val="20"/>
              </w:rPr>
              <w:t>The error term.</w:t>
            </w:r>
          </w:p>
        </w:tc>
      </w:tr>
    </w:tbl>
    <w:p w:rsidR="000249A3" w:rsidRPr="000249A3" w:rsidRDefault="000249A3" w:rsidP="000249A3"/>
    <w:p w:rsidR="000249A3" w:rsidRPr="000249A3" w:rsidRDefault="000249A3" w:rsidP="000249A3">
      <w:r w:rsidRPr="000249A3">
        <w:t xml:space="preserve">The OtherEvt variables help the model explain load changes that occur on event days in cases in which </w:t>
      </w:r>
      <w:r>
        <w:t xml:space="preserve">aggregator </w:t>
      </w:r>
      <w:r w:rsidR="00075250">
        <w:t>service account</w:t>
      </w:r>
      <w:r w:rsidRPr="000249A3">
        <w:t>s are dually enrolled</w:t>
      </w:r>
      <w:r w:rsidR="00C2024F">
        <w:t xml:space="preserve"> in other DR programs</w:t>
      </w:r>
      <w:r w:rsidRPr="000249A3">
        <w:t>. (In the absence of these variables, any load reductions that occur on such days may be falsely attributed to other included variables, such as weather condition or day</w:t>
      </w:r>
      <w:r w:rsidR="00C2024F">
        <w:t>-</w:t>
      </w:r>
      <w:r w:rsidRPr="000249A3">
        <w:t xml:space="preserve">type variables.) The </w:t>
      </w:r>
      <w:r w:rsidR="002961ED">
        <w:t>“</w:t>
      </w:r>
      <w:r w:rsidRPr="000249A3">
        <w:t>morning load</w:t>
      </w:r>
      <w:r w:rsidR="002961ED">
        <w:t>”</w:t>
      </w:r>
      <w:r w:rsidRPr="000249A3">
        <w:t xml:space="preserve"> variables are included in the same spirit as the day-of adjustment to the 10-in-10 baseline settlement method. That is, those variables help adjust the reference loads (or the loads that would have been observed in the absence of an event) for factors that affect pre-event usage, but are not accounted for by the other included variables. </w:t>
      </w:r>
    </w:p>
    <w:p w:rsidR="000249A3" w:rsidRPr="000249A3" w:rsidRDefault="000249A3" w:rsidP="000249A3"/>
    <w:p w:rsidR="000249A3" w:rsidRPr="000249A3" w:rsidRDefault="000249A3" w:rsidP="000249A3">
      <w:r w:rsidRPr="00DC512F">
        <w:t xml:space="preserve">The model allows for the hourly load profile to differ by: day of week, with </w:t>
      </w:r>
      <w:r w:rsidRPr="00B714BF">
        <w:t>separate profiles for Monday, Tuesday through Thursday, and Friday</w:t>
      </w:r>
      <w:r w:rsidRPr="00DC512F">
        <w:t>; and by pricing season (</w:t>
      </w:r>
      <w:r w:rsidR="00ED0F45" w:rsidRPr="00DC512F">
        <w:rPr>
          <w:i/>
        </w:rPr>
        <w:t>i.e.</w:t>
      </w:r>
      <w:r w:rsidRPr="00DC512F">
        <w:t xml:space="preserve">, summer versus non-summer), in order to account for customer load changes in response to seasonal </w:t>
      </w:r>
      <w:r w:rsidR="00DC512F">
        <w:t xml:space="preserve">differences in peak energy </w:t>
      </w:r>
      <w:r w:rsidRPr="00DC512F">
        <w:t>price</w:t>
      </w:r>
      <w:r w:rsidR="00DC512F">
        <w:t>s and/or demand</w:t>
      </w:r>
      <w:r w:rsidRPr="00DC512F">
        <w:t xml:space="preserve"> cha</w:t>
      </w:r>
      <w:r w:rsidR="00DC512F">
        <w:t>r</w:t>
      </w:r>
      <w:r w:rsidRPr="00DC512F">
        <w:t>ges.</w:t>
      </w:r>
    </w:p>
    <w:p w:rsidR="000249A3" w:rsidRPr="000249A3" w:rsidRDefault="000249A3" w:rsidP="000249A3"/>
    <w:p w:rsidR="000249A3" w:rsidRPr="000249A3" w:rsidRDefault="000249A3" w:rsidP="000249A3">
      <w:r w:rsidRPr="000249A3">
        <w:t xml:space="preserve">Separate models were estimated for each customer. The load impacts were aggregated across </w:t>
      </w:r>
      <w:r w:rsidR="00595F10">
        <w:t>service accounts</w:t>
      </w:r>
      <w:r w:rsidRPr="000249A3">
        <w:t xml:space="preserve"> as appropriate to arrive at program-level load impacts, as well as load impacts by industry group and local capacity area (LCA). </w:t>
      </w:r>
    </w:p>
    <w:p w:rsidR="000249A3" w:rsidRPr="000249A3" w:rsidRDefault="000249A3" w:rsidP="000249A3">
      <w:pPr>
        <w:pStyle w:val="Heading3"/>
      </w:pPr>
      <w:bookmarkStart w:id="51" w:name="_Toc346119221"/>
      <w:bookmarkStart w:id="52" w:name="_Toc415231750"/>
      <w:bookmarkStart w:id="53" w:name="OLE_LINK3"/>
      <w:bookmarkStart w:id="54" w:name="OLE_LINK4"/>
      <w:r w:rsidRPr="000249A3">
        <w:lastRenderedPageBreak/>
        <w:t>3.2.2 Development of Uncertainty-Adjusted Load Impacts</w:t>
      </w:r>
      <w:bookmarkEnd w:id="51"/>
      <w:bookmarkEnd w:id="52"/>
    </w:p>
    <w:bookmarkEnd w:id="53"/>
    <w:bookmarkEnd w:id="54"/>
    <w:p w:rsidR="00FC7181" w:rsidRDefault="00FC7181" w:rsidP="00FC7181">
      <w:pPr>
        <w:rPr>
          <w:szCs w:val="24"/>
        </w:rPr>
      </w:pPr>
      <w:r>
        <w:t xml:space="preserve">The Load Impact Protocols require the estimation of uncertainty-adjusted load impacts. In the case of </w:t>
      </w:r>
      <w:r>
        <w:rPr>
          <w:i/>
        </w:rPr>
        <w:t>ex-post</w:t>
      </w:r>
      <w:r>
        <w:t xml:space="preserve"> load impacts, the parameters that constitute the load impact estimates </w:t>
      </w:r>
      <w:r w:rsidR="00A7002F">
        <w:t xml:space="preserve">for each hour </w:t>
      </w:r>
      <w:r>
        <w:t xml:space="preserve">are </w:t>
      </w:r>
      <w:r w:rsidR="0041488A">
        <w:t>surrounded by a range of un</w:t>
      </w:r>
      <w:r>
        <w:t>certainty</w:t>
      </w:r>
      <w:r w:rsidR="0041488A">
        <w:t xml:space="preserve"> that is indicated by the standard errors associated with the load impact coefficients</w:t>
      </w:r>
      <w:r>
        <w:t xml:space="preserve">. We base the uncertainty-adjusted load impacts on the variances </w:t>
      </w:r>
      <w:r w:rsidR="0041488A">
        <w:t>(</w:t>
      </w:r>
      <w:r w:rsidR="0041488A">
        <w:rPr>
          <w:i/>
        </w:rPr>
        <w:t>i.e.</w:t>
      </w:r>
      <w:r w:rsidR="0041488A">
        <w:t xml:space="preserve">, the square of the standard errors) </w:t>
      </w:r>
      <w:r>
        <w:t xml:space="preserve">associated with the estimated load impact coefficients.  </w:t>
      </w:r>
    </w:p>
    <w:p w:rsidR="00FC7181" w:rsidRDefault="00FC7181" w:rsidP="00FC7181"/>
    <w:p w:rsidR="00FC7181" w:rsidRDefault="0041488A" w:rsidP="00FC7181">
      <w:r>
        <w:t xml:space="preserve">For each event, to calculate </w:t>
      </w:r>
      <w:r w:rsidR="00A7002F">
        <w:t>the</w:t>
      </w:r>
      <w:r>
        <w:t xml:space="preserve"> range of uncertainty at an aggregate level, we add</w:t>
      </w:r>
      <w:r w:rsidR="00FC7181">
        <w:t xml:space="preserve"> the variances of the estimated </w:t>
      </w:r>
      <w:r>
        <w:t xml:space="preserve">customer-level </w:t>
      </w:r>
      <w:r w:rsidR="00FC7181">
        <w:t xml:space="preserve">load impacts across the customers who were called for the event in question. These aggregations </w:t>
      </w:r>
      <w:r>
        <w:t>ar</w:t>
      </w:r>
      <w:r w:rsidR="00FC7181">
        <w:t xml:space="preserve">e performed at either the program level, by industry group, or by LCA, as appropriate. The uncertainty-adjusted scenarios </w:t>
      </w:r>
      <w:r>
        <w:t>a</w:t>
      </w:r>
      <w:r w:rsidR="00FC7181">
        <w:t xml:space="preserve">re then simulated under the assumption that each hour’s load impact is normally distributed with the mean equal to the sum of the estimated </w:t>
      </w:r>
      <w:r w:rsidR="00A7002F">
        <w:t xml:space="preserve">customer-level </w:t>
      </w:r>
      <w:r w:rsidR="00FC7181">
        <w:t>load impacts and the standard deviation equal to the square root of the sum of the variances of the errors around the estimates of the load impacts. Results for the 10</w:t>
      </w:r>
      <w:r w:rsidR="00FC7181">
        <w:rPr>
          <w:vertAlign w:val="superscript"/>
        </w:rPr>
        <w:t>th</w:t>
      </w:r>
      <w:r w:rsidR="00FC7181">
        <w:t>, 30</w:t>
      </w:r>
      <w:r w:rsidR="00FC7181">
        <w:rPr>
          <w:vertAlign w:val="superscript"/>
        </w:rPr>
        <w:t>th</w:t>
      </w:r>
      <w:r w:rsidR="00FC7181">
        <w:t>, 70</w:t>
      </w:r>
      <w:r w:rsidR="00FC7181">
        <w:rPr>
          <w:vertAlign w:val="superscript"/>
        </w:rPr>
        <w:t>th</w:t>
      </w:r>
      <w:r w:rsidR="00FC7181">
        <w:t>, and 90</w:t>
      </w:r>
      <w:r w:rsidR="00FC7181">
        <w:rPr>
          <w:vertAlign w:val="superscript"/>
        </w:rPr>
        <w:t>th</w:t>
      </w:r>
      <w:r w:rsidR="00FC7181">
        <w:t xml:space="preserve"> percentile scenarios are generated from these distributions. </w:t>
      </w:r>
    </w:p>
    <w:p w:rsidR="00FC7181" w:rsidRDefault="00FC7181" w:rsidP="00FC7181"/>
    <w:p w:rsidR="000249A3" w:rsidRPr="005A3C8C" w:rsidRDefault="00FC7181" w:rsidP="000249A3">
      <w:pPr>
        <w:rPr>
          <w:rFonts w:ascii="Times New Roman" w:hAnsi="Times New Roman"/>
        </w:rPr>
      </w:pPr>
      <w:r>
        <w:t xml:space="preserve">In order to develop the uncertainty-adjusted load impacts associated with the </w:t>
      </w:r>
      <w:r w:rsidRPr="005A3C8C">
        <w:rPr>
          <w:i/>
        </w:rPr>
        <w:t>average</w:t>
      </w:r>
      <w:r>
        <w:t xml:space="preserve"> event hour</w:t>
      </w:r>
      <w:r w:rsidR="00A7002F">
        <w:t xml:space="preserve"> (</w:t>
      </w:r>
      <w:r w:rsidR="00A7002F">
        <w:rPr>
          <w:i/>
        </w:rPr>
        <w:t>i.e.</w:t>
      </w:r>
      <w:r w:rsidR="00A7002F">
        <w:t xml:space="preserve">, the </w:t>
      </w:r>
      <w:r w:rsidR="005A3C8C">
        <w:t>bottom</w:t>
      </w:r>
      <w:r w:rsidR="00A7002F">
        <w:t xml:space="preserve"> row</w:t>
      </w:r>
      <w:r w:rsidR="005A3C8C">
        <w:t>s</w:t>
      </w:r>
      <w:r w:rsidR="00A7002F">
        <w:t xml:space="preserve"> in the </w:t>
      </w:r>
      <w:r w:rsidR="005A3C8C">
        <w:t xml:space="preserve">tables produced by the </w:t>
      </w:r>
      <w:r w:rsidR="005A3C8C" w:rsidRPr="005A3C8C">
        <w:rPr>
          <w:i/>
        </w:rPr>
        <w:t>ex-post</w:t>
      </w:r>
      <w:r w:rsidR="005A3C8C">
        <w:t xml:space="preserve"> </w:t>
      </w:r>
      <w:r w:rsidR="00A7002F">
        <w:t>table generator)</w:t>
      </w:r>
      <w:r>
        <w:t>, we estimated two additional sets of customer-specific regression models. In the first model, we est</w:t>
      </w:r>
      <w:r w:rsidR="00A7002F">
        <w:t xml:space="preserve">imated the </w:t>
      </w:r>
      <w:r>
        <w:t xml:space="preserve">average event-hour load impact </w:t>
      </w:r>
      <w:r w:rsidR="00A7002F">
        <w:t xml:space="preserve">for </w:t>
      </w:r>
      <w:r w:rsidR="00A7002F" w:rsidRPr="00A7002F">
        <w:rPr>
          <w:i/>
        </w:rPr>
        <w:t>each</w:t>
      </w:r>
      <w:r w:rsidR="00A7002F">
        <w:t xml:space="preserve"> event-day, by </w:t>
      </w:r>
      <w:r>
        <w:t xml:space="preserve">using a single </w:t>
      </w:r>
      <w:r w:rsidR="00A7002F">
        <w:t xml:space="preserve">event </w:t>
      </w:r>
      <w:r>
        <w:t>variable (rather than the hour-specific variables used in the primary model described above). The standard error</w:t>
      </w:r>
      <w:r w:rsidR="00A7002F">
        <w:t>s</w:t>
      </w:r>
      <w:r>
        <w:t xml:space="preserve"> associated with these ev</w:t>
      </w:r>
      <w:r w:rsidR="00A7002F">
        <w:t>ent-specific coefficients serve</w:t>
      </w:r>
      <w:r>
        <w:t xml:space="preserve"> as the basis of the average event-hour uncertainty-adjusted load impacts for each </w:t>
      </w:r>
      <w:r>
        <w:rPr>
          <w:i/>
        </w:rPr>
        <w:t>ex-post</w:t>
      </w:r>
      <w:r>
        <w:t xml:space="preserve"> event day</w:t>
      </w:r>
      <w:r w:rsidR="005A3C8C">
        <w:t>, which are shown on the last row of event-specific tables</w:t>
      </w:r>
      <w:r>
        <w:t xml:space="preserve">. The second model includes a single event-hour variable that applies to </w:t>
      </w:r>
      <w:r w:rsidRPr="005A3C8C">
        <w:rPr>
          <w:i/>
        </w:rPr>
        <w:t>all</w:t>
      </w:r>
      <w:r>
        <w:t xml:space="preserve"> event hours of the typical (or average) event day during the program year. The standard error associated with this estimate serves as the basis of the average event-hour uncertainty-adjusted load impacts for the </w:t>
      </w:r>
      <w:r w:rsidR="005A3C8C">
        <w:t xml:space="preserve">typical </w:t>
      </w:r>
      <w:r>
        <w:rPr>
          <w:i/>
        </w:rPr>
        <w:t>ex-post</w:t>
      </w:r>
      <w:r>
        <w:t xml:space="preserve"> event day.</w:t>
      </w:r>
      <w:r>
        <w:rPr>
          <w:rStyle w:val="FootnoteReference"/>
        </w:rPr>
        <w:footnoteReference w:id="12"/>
      </w:r>
      <w:r>
        <w:t xml:space="preserve"> In each case, the standard errors are used to develop the uncertainty-adjusted scenarios in the same manner as the hour-specific standard errors in the primary model</w:t>
      </w:r>
      <w:r w:rsidR="005A3C8C">
        <w:t>. These values are shown in the bottom row of the table for the typical event day</w:t>
      </w:r>
      <w:r>
        <w:t>.</w:t>
      </w:r>
      <w:r>
        <w:rPr>
          <w:rFonts w:ascii="Times New Roman" w:hAnsi="Times New Roman"/>
        </w:rPr>
        <w:t xml:space="preserve"> </w:t>
      </w:r>
    </w:p>
    <w:p w:rsidR="00086C74" w:rsidRPr="00086C74" w:rsidRDefault="00086C74" w:rsidP="00086C74">
      <w:pPr>
        <w:pStyle w:val="Heading1"/>
      </w:pPr>
      <w:bookmarkStart w:id="55" w:name="_Toc415231751"/>
      <w:r>
        <w:t xml:space="preserve">Study Results – </w:t>
      </w:r>
      <w:r w:rsidR="00EB3DCF">
        <w:t xml:space="preserve">CBP </w:t>
      </w:r>
      <w:r w:rsidR="007004A0" w:rsidRPr="007004A0">
        <w:rPr>
          <w:i/>
        </w:rPr>
        <w:t>Ex-post</w:t>
      </w:r>
      <w:r>
        <w:t xml:space="preserve"> Load Impacts</w:t>
      </w:r>
      <w:bookmarkEnd w:id="55"/>
    </w:p>
    <w:p w:rsidR="00086C74" w:rsidRDefault="00006061" w:rsidP="00086C74">
      <w:r>
        <w:t xml:space="preserve">This section describes the estimated </w:t>
      </w:r>
      <w:r w:rsidR="00B74B13" w:rsidRPr="00B74B13">
        <w:rPr>
          <w:i/>
        </w:rPr>
        <w:t>ex-post</w:t>
      </w:r>
      <w:r>
        <w:t xml:space="preserve"> load impacts for each </w:t>
      </w:r>
      <w:r w:rsidR="00EB3DCF">
        <w:t>utility</w:t>
      </w:r>
      <w:r w:rsidR="002961ED">
        <w:t>’</w:t>
      </w:r>
      <w:r w:rsidR="00EB3DCF">
        <w:t xml:space="preserve">s CBP </w:t>
      </w:r>
      <w:r>
        <w:t>program</w:t>
      </w:r>
      <w:r w:rsidR="005D5AD4">
        <w:t xml:space="preserve"> and product type</w:t>
      </w:r>
      <w:r w:rsidR="00EB3DCF">
        <w:t xml:space="preserve">. </w:t>
      </w:r>
      <w:r w:rsidR="005D5AD4">
        <w:t>For each program and product type (</w:t>
      </w:r>
      <w:r w:rsidR="00ED0F45" w:rsidRPr="00ED0F45">
        <w:rPr>
          <w:i/>
        </w:rPr>
        <w:t>e.g.</w:t>
      </w:r>
      <w:r w:rsidR="003911DA">
        <w:t xml:space="preserve">, </w:t>
      </w:r>
      <w:r w:rsidR="005D5AD4">
        <w:t>DA</w:t>
      </w:r>
      <w:r w:rsidR="003911DA">
        <w:t xml:space="preserve"> 1-4 Hour</w:t>
      </w:r>
      <w:r w:rsidR="008F3044">
        <w:t>s</w:t>
      </w:r>
      <w:r w:rsidR="005D5AD4">
        <w:t xml:space="preserve"> and DO</w:t>
      </w:r>
      <w:r w:rsidR="003911DA">
        <w:t xml:space="preserve"> 1-4 Hour</w:t>
      </w:r>
      <w:r w:rsidR="008F3044">
        <w:t>s</w:t>
      </w:r>
      <w:r w:rsidR="005D5AD4">
        <w:t>), we show the following information:</w:t>
      </w:r>
    </w:p>
    <w:p w:rsidR="00211752" w:rsidRDefault="00211752" w:rsidP="00086C74"/>
    <w:p w:rsidR="00EB3DCF" w:rsidRDefault="00EB3DCF" w:rsidP="00211752">
      <w:pPr>
        <w:keepNext/>
        <w:keepLines/>
        <w:numPr>
          <w:ilvl w:val="0"/>
          <w:numId w:val="5"/>
        </w:numPr>
      </w:pPr>
      <w:r>
        <w:lastRenderedPageBreak/>
        <w:t xml:space="preserve">Events that were called in </w:t>
      </w:r>
      <w:r w:rsidR="007A67BB">
        <w:t>2014</w:t>
      </w:r>
      <w:r w:rsidR="00165046">
        <w:t>;</w:t>
      </w:r>
    </w:p>
    <w:p w:rsidR="005D5AD4" w:rsidRDefault="005D5AD4" w:rsidP="00211752">
      <w:pPr>
        <w:keepNext/>
        <w:keepLines/>
        <w:numPr>
          <w:ilvl w:val="0"/>
          <w:numId w:val="5"/>
        </w:numPr>
      </w:pPr>
      <w:r>
        <w:t xml:space="preserve">For each event, the </w:t>
      </w:r>
      <w:r w:rsidR="0030471E">
        <w:t xml:space="preserve">number of </w:t>
      </w:r>
      <w:r w:rsidR="00595F10">
        <w:t>service accounts</w:t>
      </w:r>
      <w:r w:rsidR="0030471E">
        <w:t xml:space="preserve"> called, </w:t>
      </w:r>
      <w:r>
        <w:t xml:space="preserve">average </w:t>
      </w:r>
      <w:r w:rsidR="00A6207B">
        <w:t>event-</w:t>
      </w:r>
      <w:r>
        <w:t>hour reference load, estimated load impact, and percentage load impact</w:t>
      </w:r>
      <w:r w:rsidR="0030471E">
        <w:t xml:space="preserve">, </w:t>
      </w:r>
      <w:r w:rsidR="00A6207B">
        <w:t xml:space="preserve">for both the </w:t>
      </w:r>
      <w:r w:rsidR="0030471E">
        <w:t>aggregate and per-customer level</w:t>
      </w:r>
      <w:r>
        <w:t>;</w:t>
      </w:r>
    </w:p>
    <w:p w:rsidR="005D5AD4" w:rsidRDefault="005D5AD4" w:rsidP="00211752">
      <w:pPr>
        <w:keepNext/>
        <w:keepLines/>
        <w:numPr>
          <w:ilvl w:val="0"/>
          <w:numId w:val="5"/>
        </w:numPr>
      </w:pPr>
      <w:r>
        <w:t>For the average</w:t>
      </w:r>
      <w:r w:rsidR="002F24DB">
        <w:t xml:space="preserve"> of</w:t>
      </w:r>
      <w:r>
        <w:t xml:space="preserve"> typical</w:t>
      </w:r>
      <w:r w:rsidR="002F24DB">
        <w:t xml:space="preserve"> </w:t>
      </w:r>
      <w:r>
        <w:t>event</w:t>
      </w:r>
      <w:r w:rsidR="002F24DB">
        <w:t>s</w:t>
      </w:r>
      <w:r>
        <w:t>, the average event-hour reference load, estimated load impact, and percentage load impact, by industry type</w:t>
      </w:r>
      <w:r w:rsidR="0014561D">
        <w:t xml:space="preserve"> and</w:t>
      </w:r>
      <w:r>
        <w:t xml:space="preserve"> LCA;</w:t>
      </w:r>
      <w:r w:rsidR="00B4483D">
        <w:rPr>
          <w:rStyle w:val="FootnoteReference"/>
        </w:rPr>
        <w:footnoteReference w:id="13"/>
      </w:r>
    </w:p>
    <w:p w:rsidR="0014561D" w:rsidRDefault="005D5AD4" w:rsidP="00211752">
      <w:pPr>
        <w:keepNext/>
        <w:keepLines/>
        <w:numPr>
          <w:ilvl w:val="0"/>
          <w:numId w:val="5"/>
        </w:numPr>
      </w:pPr>
      <w:r>
        <w:t>For selected events, the hourly profile of the estimated reference load and load impacts</w:t>
      </w:r>
      <w:r w:rsidR="0014561D">
        <w:t>; and</w:t>
      </w:r>
    </w:p>
    <w:p w:rsidR="00F22D50" w:rsidRDefault="0014561D" w:rsidP="00211752">
      <w:pPr>
        <w:keepNext/>
        <w:keepLines/>
        <w:numPr>
          <w:ilvl w:val="0"/>
          <w:numId w:val="5"/>
        </w:numPr>
      </w:pPr>
      <w:r>
        <w:t>Estimates of TA/TI and AutoDR impacts</w:t>
      </w:r>
      <w:r w:rsidR="005D5AD4">
        <w:t xml:space="preserve">. </w:t>
      </w:r>
    </w:p>
    <w:p w:rsidR="00F22D50" w:rsidRDefault="00F22D50" w:rsidP="00F22D50">
      <w:pPr>
        <w:pStyle w:val="Heading2"/>
      </w:pPr>
      <w:bookmarkStart w:id="56" w:name="_Toc415231752"/>
      <w:r>
        <w:t>4.1 Capacity Bidding Program (</w:t>
      </w:r>
      <w:r w:rsidRPr="00B0448F">
        <w:t>CBP</w:t>
      </w:r>
      <w:r>
        <w:t>)</w:t>
      </w:r>
      <w:r w:rsidR="00006061">
        <w:t xml:space="preserve"> – PG&amp;E</w:t>
      </w:r>
      <w:bookmarkEnd w:id="56"/>
    </w:p>
    <w:p w:rsidR="00165046" w:rsidRDefault="00165046" w:rsidP="00165046">
      <w:pPr>
        <w:pStyle w:val="Heading3"/>
        <w:rPr>
          <w:sz w:val="22"/>
          <w:szCs w:val="22"/>
        </w:rPr>
      </w:pPr>
      <w:bookmarkStart w:id="57" w:name="_Toc415231753"/>
      <w:r w:rsidRPr="007D59C2">
        <w:rPr>
          <w:sz w:val="22"/>
          <w:szCs w:val="22"/>
        </w:rPr>
        <w:t xml:space="preserve">4.1.1 </w:t>
      </w:r>
      <w:r>
        <w:rPr>
          <w:sz w:val="22"/>
          <w:szCs w:val="22"/>
        </w:rPr>
        <w:t>Events for PG&amp;E CBP</w:t>
      </w:r>
      <w:bookmarkEnd w:id="57"/>
    </w:p>
    <w:p w:rsidR="00165046" w:rsidRDefault="00165046" w:rsidP="00165046">
      <w:r w:rsidRPr="00165046">
        <w:t xml:space="preserve">Table </w:t>
      </w:r>
      <w:r>
        <w:t>4</w:t>
      </w:r>
      <w:r w:rsidR="00BF6C03">
        <w:t>–</w:t>
      </w:r>
      <w:r>
        <w:t>1 lists the features of PG&amp;E</w:t>
      </w:r>
      <w:r w:rsidR="002961ED">
        <w:t>’</w:t>
      </w:r>
      <w:r>
        <w:t xml:space="preserve">s CBP </w:t>
      </w:r>
      <w:r w:rsidR="00BE028D">
        <w:t xml:space="preserve">DA and DO </w:t>
      </w:r>
      <w:r>
        <w:t xml:space="preserve">events in </w:t>
      </w:r>
      <w:r w:rsidR="007A67BB">
        <w:t>2014</w:t>
      </w:r>
      <w:r>
        <w:t xml:space="preserve">, including </w:t>
      </w:r>
      <w:r w:rsidR="00003143">
        <w:t xml:space="preserve">day of week, </w:t>
      </w:r>
      <w:r>
        <w:t xml:space="preserve">event </w:t>
      </w:r>
      <w:r w:rsidR="002D1557">
        <w:t xml:space="preserve">type, </w:t>
      </w:r>
      <w:r w:rsidR="00A6207B">
        <w:t xml:space="preserve">event </w:t>
      </w:r>
      <w:r>
        <w:t xml:space="preserve">hours, </w:t>
      </w:r>
      <w:r w:rsidR="00003143">
        <w:t xml:space="preserve">and </w:t>
      </w:r>
      <w:r>
        <w:t xml:space="preserve">number of </w:t>
      </w:r>
      <w:r w:rsidR="00595F10">
        <w:t>service accounts</w:t>
      </w:r>
      <w:r w:rsidR="00A6207B">
        <w:t xml:space="preserve"> called</w:t>
      </w:r>
      <w:r>
        <w:t xml:space="preserve">. </w:t>
      </w:r>
      <w:r w:rsidR="003C56A8">
        <w:t>A number of localized events were called for only some SubLaps</w:t>
      </w:r>
      <w:r w:rsidR="00564624">
        <w:t>, as indicated in the column labeled “Event Type”</w:t>
      </w:r>
      <w:r w:rsidR="003C56A8">
        <w:t>.</w:t>
      </w:r>
      <w:r w:rsidR="002D1557">
        <w:t xml:space="preserve"> </w:t>
      </w:r>
      <w:r w:rsidR="003C56A8">
        <w:t>T</w:t>
      </w:r>
      <w:r w:rsidR="00721A17">
        <w:t xml:space="preserve">ypical events, indicated by shading, are those that were called system-wide </w:t>
      </w:r>
      <w:r w:rsidR="003C56A8">
        <w:t>for hours-ending 16 to 19.</w:t>
      </w:r>
      <w:r>
        <w:t xml:space="preserve"> </w:t>
      </w:r>
    </w:p>
    <w:p w:rsidR="00165046" w:rsidRPr="00165046" w:rsidRDefault="00165046" w:rsidP="00165046"/>
    <w:p w:rsidR="00165046" w:rsidRPr="00401B10" w:rsidRDefault="00165046" w:rsidP="00003143">
      <w:pPr>
        <w:pStyle w:val="TableCaption"/>
        <w:keepLines/>
      </w:pPr>
      <w:bookmarkStart w:id="58" w:name="_Toc414545885"/>
      <w:r w:rsidRPr="00401B10">
        <w:lastRenderedPageBreak/>
        <w:t xml:space="preserve">Table </w:t>
      </w:r>
      <w:fldSimple w:instr=" STYLEREF 1 \s ">
        <w:r w:rsidR="004A7BE8">
          <w:rPr>
            <w:noProof/>
          </w:rPr>
          <w:t>4</w:t>
        </w:r>
      </w:fldSimple>
      <w:r w:rsidR="0088207A">
        <w:t>–</w:t>
      </w:r>
      <w:r>
        <w:t>1</w:t>
      </w:r>
      <w:r w:rsidRPr="00401B10">
        <w:t xml:space="preserve">: </w:t>
      </w:r>
      <w:r w:rsidR="00E46171">
        <w:t xml:space="preserve">Event Summary for </w:t>
      </w:r>
      <w:r w:rsidR="007A67BB">
        <w:t>2014</w:t>
      </w:r>
      <w:r w:rsidRPr="00401B10">
        <w:t xml:space="preserve"> – </w:t>
      </w:r>
      <w:r w:rsidRPr="00401B10">
        <w:rPr>
          <w:i/>
        </w:rPr>
        <w:t>PG&amp;E CBP</w:t>
      </w:r>
      <w:bookmarkEnd w:id="58"/>
    </w:p>
    <w:p w:rsidR="00165046" w:rsidRPr="009627F3" w:rsidRDefault="009E71B1" w:rsidP="00003143">
      <w:pPr>
        <w:keepNext/>
        <w:keepLines/>
        <w:jc w:val="center"/>
      </w:pPr>
      <w:r w:rsidRPr="009E71B1">
        <w:rPr>
          <w:noProof/>
        </w:rPr>
        <w:drawing>
          <wp:inline distT="0" distB="0" distL="0" distR="0" wp14:anchorId="177D5512" wp14:editId="3E355600">
            <wp:extent cx="4785360" cy="758952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5360" cy="7589520"/>
                    </a:xfrm>
                    <a:prstGeom prst="rect">
                      <a:avLst/>
                    </a:prstGeom>
                    <a:noFill/>
                    <a:ln>
                      <a:noFill/>
                    </a:ln>
                  </pic:spPr>
                </pic:pic>
              </a:graphicData>
            </a:graphic>
          </wp:inline>
        </w:drawing>
      </w:r>
    </w:p>
    <w:p w:rsidR="00165046" w:rsidRDefault="00165046" w:rsidP="00165046"/>
    <w:p w:rsidR="00F22D50" w:rsidRPr="007D59C2" w:rsidRDefault="003911DA" w:rsidP="003911DA">
      <w:pPr>
        <w:pStyle w:val="Heading3"/>
        <w:rPr>
          <w:sz w:val="22"/>
          <w:szCs w:val="22"/>
        </w:rPr>
      </w:pPr>
      <w:bookmarkStart w:id="59" w:name="_Toc415231754"/>
      <w:r w:rsidRPr="007D59C2">
        <w:rPr>
          <w:sz w:val="22"/>
          <w:szCs w:val="22"/>
        </w:rPr>
        <w:lastRenderedPageBreak/>
        <w:t>4.1.</w:t>
      </w:r>
      <w:r w:rsidR="00165046">
        <w:rPr>
          <w:sz w:val="22"/>
          <w:szCs w:val="22"/>
        </w:rPr>
        <w:t>2</w:t>
      </w:r>
      <w:r w:rsidRPr="007D59C2">
        <w:rPr>
          <w:sz w:val="22"/>
          <w:szCs w:val="22"/>
        </w:rPr>
        <w:t xml:space="preserve"> Summary load impacts</w:t>
      </w:r>
      <w:bookmarkEnd w:id="59"/>
    </w:p>
    <w:p w:rsidR="00401B10" w:rsidRPr="00401B10" w:rsidRDefault="00401B10" w:rsidP="00401B10">
      <w:pPr>
        <w:spacing w:before="240"/>
      </w:pPr>
      <w:r w:rsidRPr="00401B10">
        <w:t>Table 4–</w:t>
      </w:r>
      <w:r w:rsidR="00165046">
        <w:t>2</w:t>
      </w:r>
      <w:r w:rsidRPr="00401B10">
        <w:t xml:space="preserve"> show</w:t>
      </w:r>
      <w:r w:rsidR="00165046">
        <w:t>s</w:t>
      </w:r>
      <w:r w:rsidRPr="00401B10">
        <w:t xml:space="preserve"> average </w:t>
      </w:r>
      <w:r w:rsidR="00A6207B">
        <w:t>event-hour</w:t>
      </w:r>
      <w:r w:rsidRPr="00401B10">
        <w:t xml:space="preserve"> estimated </w:t>
      </w:r>
      <w:r w:rsidRPr="00401B10">
        <w:rPr>
          <w:i/>
        </w:rPr>
        <w:t>reference load</w:t>
      </w:r>
      <w:r w:rsidR="00BE028D">
        <w:rPr>
          <w:i/>
        </w:rPr>
        <w:t>s</w:t>
      </w:r>
      <w:r w:rsidRPr="00401B10">
        <w:t xml:space="preserve">, </w:t>
      </w:r>
      <w:r w:rsidRPr="00401B10">
        <w:rPr>
          <w:i/>
        </w:rPr>
        <w:t>load impacts</w:t>
      </w:r>
      <w:r w:rsidR="00552714">
        <w:t xml:space="preserve">, at both </w:t>
      </w:r>
      <w:r w:rsidR="003B525C">
        <w:t>an</w:t>
      </w:r>
      <w:r w:rsidR="00552714">
        <w:t xml:space="preserve"> average customer and aggregate level, as well as</w:t>
      </w:r>
      <w:r w:rsidRPr="00401B10">
        <w:t xml:space="preserve"> </w:t>
      </w:r>
      <w:r w:rsidRPr="00401B10">
        <w:rPr>
          <w:i/>
        </w:rPr>
        <w:t>percentage load impacts</w:t>
      </w:r>
      <w:r w:rsidR="00A6207B">
        <w:t xml:space="preserve">, </w:t>
      </w:r>
      <w:r w:rsidRPr="00401B10">
        <w:t xml:space="preserve">for the DA and DO </w:t>
      </w:r>
      <w:r>
        <w:t xml:space="preserve">notice and associated </w:t>
      </w:r>
      <w:r w:rsidRPr="00401B10">
        <w:t>product types, for each of PG&amp;E</w:t>
      </w:r>
      <w:r w:rsidR="002961ED">
        <w:t>’</w:t>
      </w:r>
      <w:r w:rsidRPr="00401B10">
        <w:t xml:space="preserve">s CBP events, and for the </w:t>
      </w:r>
      <w:r w:rsidR="003C32C3">
        <w:t xml:space="preserve">typical </w:t>
      </w:r>
      <w:r w:rsidRPr="00401B10">
        <w:t>event</w:t>
      </w:r>
      <w:r>
        <w:t xml:space="preserve">. </w:t>
      </w:r>
      <w:r w:rsidR="00552714">
        <w:t>Also shown are average event</w:t>
      </w:r>
      <w:r w:rsidR="005C7A57">
        <w:t>-hour</w:t>
      </w:r>
      <w:r w:rsidR="00552714">
        <w:t xml:space="preserve"> temperatures, and </w:t>
      </w:r>
      <w:r w:rsidR="00564624">
        <w:t>the amount of monthly nominated capacity for the relevant product types and SubLaps called</w:t>
      </w:r>
      <w:r w:rsidR="00564624" w:rsidRPr="008F3E82">
        <w:t>.</w:t>
      </w:r>
      <w:r w:rsidR="00564624">
        <w:t xml:space="preserve"> The nominated capacity values may be compared to the aggregate load impact estimates in the fourth column from the right. </w:t>
      </w:r>
      <w:r w:rsidRPr="00401B10">
        <w:t xml:space="preserve">The average </w:t>
      </w:r>
      <w:r w:rsidR="005C7A57">
        <w:t>event-</w:t>
      </w:r>
      <w:r w:rsidRPr="00401B10">
        <w:t xml:space="preserve">hour DA load impact </w:t>
      </w:r>
      <w:r w:rsidR="00552714">
        <w:t xml:space="preserve">for the </w:t>
      </w:r>
      <w:r w:rsidR="005C7A57">
        <w:t>typical</w:t>
      </w:r>
      <w:r w:rsidR="00552714">
        <w:t xml:space="preserve"> event </w:t>
      </w:r>
      <w:r w:rsidRPr="00401B10">
        <w:t xml:space="preserve">was </w:t>
      </w:r>
      <w:r w:rsidR="005C7A57">
        <w:t>4.</w:t>
      </w:r>
      <w:r w:rsidR="00564624">
        <w:t>9</w:t>
      </w:r>
      <w:r w:rsidRPr="00401B10">
        <w:t xml:space="preserve"> MW, while DO load impact</w:t>
      </w:r>
      <w:r>
        <w:t>s</w:t>
      </w:r>
      <w:r w:rsidRPr="00401B10">
        <w:t xml:space="preserve"> averaged </w:t>
      </w:r>
      <w:r w:rsidR="003C32C3">
        <w:t>5.8</w:t>
      </w:r>
      <w:r w:rsidRPr="00401B10">
        <w:t xml:space="preserve"> MW</w:t>
      </w:r>
      <w:r>
        <w:t xml:space="preserve"> for the 1-4 Hour product, and </w:t>
      </w:r>
      <w:r w:rsidR="003C32C3">
        <w:t>4.8</w:t>
      </w:r>
      <w:r>
        <w:t xml:space="preserve"> MW for the 2-6 Hour product</w:t>
      </w:r>
      <w:r w:rsidRPr="00401B10">
        <w:t xml:space="preserve">. </w:t>
      </w:r>
      <w:r>
        <w:t xml:space="preserve">Average percentage load impacts </w:t>
      </w:r>
      <w:r w:rsidR="003C32C3">
        <w:t xml:space="preserve">for the typical event </w:t>
      </w:r>
      <w:r>
        <w:t xml:space="preserve">ranged from </w:t>
      </w:r>
      <w:r w:rsidR="005C7A57">
        <w:t>1</w:t>
      </w:r>
      <w:r w:rsidR="003C32C3">
        <w:t>0</w:t>
      </w:r>
      <w:r>
        <w:t xml:space="preserve"> to </w:t>
      </w:r>
      <w:r w:rsidR="005C7A57">
        <w:t>3</w:t>
      </w:r>
      <w:r w:rsidR="00564624">
        <w:t>7</w:t>
      </w:r>
      <w:r>
        <w:t xml:space="preserve"> percent across the three product types.</w:t>
      </w:r>
      <w:r w:rsidRPr="00401B10">
        <w:t xml:space="preserve"> </w:t>
      </w:r>
    </w:p>
    <w:p w:rsidR="003911DA" w:rsidRDefault="003911DA" w:rsidP="00F22D50"/>
    <w:p w:rsidR="00401B10" w:rsidRPr="00401B10" w:rsidRDefault="00401B10" w:rsidP="00BF6C03">
      <w:pPr>
        <w:pStyle w:val="TableCaption"/>
      </w:pPr>
      <w:bookmarkStart w:id="60" w:name="_Toc414545886"/>
      <w:r w:rsidRPr="00401B10">
        <w:lastRenderedPageBreak/>
        <w:t xml:space="preserve">Table </w:t>
      </w:r>
      <w:fldSimple w:instr=" STYLEREF 1 \s ">
        <w:r w:rsidR="004A7BE8">
          <w:rPr>
            <w:noProof/>
          </w:rPr>
          <w:t>4</w:t>
        </w:r>
      </w:fldSimple>
      <w:r w:rsidR="0088207A">
        <w:t>–</w:t>
      </w:r>
      <w:r w:rsidR="00165046">
        <w:t>2</w:t>
      </w:r>
      <w:r w:rsidRPr="00401B10">
        <w:t xml:space="preserve">: Average </w:t>
      </w:r>
      <w:r w:rsidR="005C7A57">
        <w:t>Event-Hour</w:t>
      </w:r>
      <w:r w:rsidRPr="00401B10">
        <w:t xml:space="preserve"> </w:t>
      </w:r>
      <w:r w:rsidR="00B714BF">
        <w:t xml:space="preserve">Loads and </w:t>
      </w:r>
      <w:r w:rsidRPr="00401B10">
        <w:t xml:space="preserve">Load Impacts by Event – </w:t>
      </w:r>
      <w:r w:rsidRPr="00401B10">
        <w:rPr>
          <w:i/>
        </w:rPr>
        <w:t>PG&amp;E CB</w:t>
      </w:r>
      <w:r w:rsidR="00564624">
        <w:rPr>
          <w:i/>
        </w:rPr>
        <w:t>P</w:t>
      </w:r>
      <w:bookmarkEnd w:id="60"/>
    </w:p>
    <w:p w:rsidR="003911DA" w:rsidRPr="007F48DC" w:rsidRDefault="009E71B1" w:rsidP="00211752">
      <w:pPr>
        <w:jc w:val="center"/>
      </w:pPr>
      <w:r w:rsidRPr="009E71B1">
        <w:rPr>
          <w:noProof/>
        </w:rPr>
        <w:drawing>
          <wp:inline distT="0" distB="0" distL="0" distR="0" wp14:anchorId="1F311C43" wp14:editId="3A15FD26">
            <wp:extent cx="5486400" cy="7679594"/>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7679594"/>
                    </a:xfrm>
                    <a:prstGeom prst="rect">
                      <a:avLst/>
                    </a:prstGeom>
                    <a:noFill/>
                    <a:ln>
                      <a:noFill/>
                    </a:ln>
                  </pic:spPr>
                </pic:pic>
              </a:graphicData>
            </a:graphic>
          </wp:inline>
        </w:drawing>
      </w:r>
    </w:p>
    <w:p w:rsidR="0094624D" w:rsidRDefault="0094624D" w:rsidP="00F22D50"/>
    <w:p w:rsidR="00401B10" w:rsidRDefault="00401B10" w:rsidP="00F22D50">
      <w:r w:rsidRPr="00401B10">
        <w:lastRenderedPageBreak/>
        <w:t>Ta</w:t>
      </w:r>
      <w:r>
        <w:t>ble 4</w:t>
      </w:r>
      <w:r w:rsidR="00BF6C03">
        <w:t>–</w:t>
      </w:r>
      <w:r w:rsidR="00165046">
        <w:t>3</w:t>
      </w:r>
      <w:r>
        <w:t xml:space="preserve"> shows the distribution of </w:t>
      </w:r>
      <w:r w:rsidR="005C7A57">
        <w:t>average event-hour</w:t>
      </w:r>
      <w:r>
        <w:t xml:space="preserve"> load impacts for the </w:t>
      </w:r>
      <w:r w:rsidR="005C7A57">
        <w:t xml:space="preserve">typical </w:t>
      </w:r>
      <w:r w:rsidR="00A71CF2">
        <w:t xml:space="preserve">DA and DO </w:t>
      </w:r>
      <w:r>
        <w:t>event by industry type.</w:t>
      </w:r>
      <w:r w:rsidR="00A71CF2">
        <w:t xml:space="preserve"> </w:t>
      </w:r>
      <w:r w:rsidR="00564624">
        <w:t>H</w:t>
      </w:r>
      <w:r w:rsidR="003C32C3">
        <w:t xml:space="preserve">alf of </w:t>
      </w:r>
      <w:r w:rsidR="00A71CF2">
        <w:t xml:space="preserve">DA load impacts are concentrated in the </w:t>
      </w:r>
      <w:r w:rsidR="0093173A">
        <w:t>Offices, Hotels, Finance and Services</w:t>
      </w:r>
      <w:r w:rsidR="00A71CF2">
        <w:t xml:space="preserve"> industry type, while DO load impacts are spread across several industry types.</w:t>
      </w:r>
      <w:r>
        <w:t xml:space="preserve"> </w:t>
      </w:r>
    </w:p>
    <w:p w:rsidR="00401B10" w:rsidRDefault="00401B10" w:rsidP="00F22D50"/>
    <w:p w:rsidR="00165046" w:rsidRPr="00401B10" w:rsidRDefault="00165046" w:rsidP="00BF6C03">
      <w:pPr>
        <w:pStyle w:val="TableCaption"/>
      </w:pPr>
      <w:bookmarkStart w:id="61" w:name="_Toc414545887"/>
      <w:r w:rsidRPr="00401B10">
        <w:t xml:space="preserve">Table </w:t>
      </w:r>
      <w:fldSimple w:instr=" STYLEREF 1 \s ">
        <w:r w:rsidR="004A7BE8">
          <w:rPr>
            <w:noProof/>
          </w:rPr>
          <w:t>4</w:t>
        </w:r>
      </w:fldSimple>
      <w:r w:rsidR="0088207A">
        <w:t>–</w:t>
      </w:r>
      <w:r>
        <w:t>3</w:t>
      </w:r>
      <w:r w:rsidRPr="00401B10">
        <w:t xml:space="preserve">: </w:t>
      </w:r>
      <w:r>
        <w:t xml:space="preserve">Distribution of </w:t>
      </w:r>
      <w:r w:rsidRPr="00401B10">
        <w:t xml:space="preserve">Average </w:t>
      </w:r>
      <w:r w:rsidR="005C7A57">
        <w:t>Event-</w:t>
      </w:r>
      <w:r w:rsidRPr="00401B10">
        <w:t xml:space="preserve">Hour Load Impacts by </w:t>
      </w:r>
      <w:r>
        <w:t>Industry Type</w:t>
      </w:r>
      <w:r w:rsidRPr="00401B10">
        <w:t xml:space="preserve"> – </w:t>
      </w:r>
      <w:r w:rsidRPr="00401B10">
        <w:rPr>
          <w:i/>
        </w:rPr>
        <w:t>PG&amp;E CBP</w:t>
      </w:r>
      <w:bookmarkEnd w:id="61"/>
    </w:p>
    <w:p w:rsidR="00401B10" w:rsidRPr="00441884" w:rsidRDefault="009E71B1" w:rsidP="00F22D50">
      <w:r w:rsidRPr="009E71B1">
        <w:rPr>
          <w:noProof/>
        </w:rPr>
        <w:drawing>
          <wp:inline distT="0" distB="0" distL="0" distR="0" wp14:anchorId="789D673A" wp14:editId="498E26C3">
            <wp:extent cx="5486400" cy="3218935"/>
            <wp:effectExtent l="0" t="0" r="0" b="63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3218935"/>
                    </a:xfrm>
                    <a:prstGeom prst="rect">
                      <a:avLst/>
                    </a:prstGeom>
                    <a:noFill/>
                    <a:ln>
                      <a:noFill/>
                    </a:ln>
                  </pic:spPr>
                </pic:pic>
              </a:graphicData>
            </a:graphic>
          </wp:inline>
        </w:drawing>
      </w:r>
    </w:p>
    <w:p w:rsidR="00401B10" w:rsidRDefault="00401B10" w:rsidP="00F22D50"/>
    <w:p w:rsidR="00401B10" w:rsidRDefault="00401B10" w:rsidP="00F22D50">
      <w:r>
        <w:t>Table 4</w:t>
      </w:r>
      <w:r w:rsidR="00BF6C03">
        <w:t>–</w:t>
      </w:r>
      <w:r w:rsidR="00E46171">
        <w:t>4</w:t>
      </w:r>
      <w:r>
        <w:t xml:space="preserve"> shows the distribution of </w:t>
      </w:r>
      <w:r w:rsidR="005C7A57">
        <w:t>average event-hour</w:t>
      </w:r>
      <w:r>
        <w:t xml:space="preserve"> load impacts by LCA.</w:t>
      </w:r>
      <w:r w:rsidR="00A71CF2">
        <w:t xml:space="preserve"> Mo</w:t>
      </w:r>
      <w:r w:rsidR="0093173A">
        <w:t xml:space="preserve">st </w:t>
      </w:r>
      <w:r w:rsidR="00A71CF2">
        <w:t xml:space="preserve">of the DA load impacts were located </w:t>
      </w:r>
      <w:r w:rsidR="0093173A">
        <w:t>outside of any</w:t>
      </w:r>
      <w:r w:rsidR="00A71CF2">
        <w:t xml:space="preserve"> LCA</w:t>
      </w:r>
      <w:r w:rsidR="0014561D">
        <w:t xml:space="preserve">. </w:t>
      </w:r>
      <w:r w:rsidR="00A71CF2">
        <w:t>DO load impacts were more widely spread, with the greatest amount in the Greater Bay Area.</w:t>
      </w:r>
    </w:p>
    <w:p w:rsidR="00401B10" w:rsidRDefault="00401B10" w:rsidP="00F22D50"/>
    <w:p w:rsidR="00E46171" w:rsidRPr="00401B10" w:rsidRDefault="00E46171" w:rsidP="00BF6C03">
      <w:pPr>
        <w:pStyle w:val="TableCaption"/>
      </w:pPr>
      <w:bookmarkStart w:id="62" w:name="_Toc414545888"/>
      <w:r w:rsidRPr="00401B10">
        <w:lastRenderedPageBreak/>
        <w:t xml:space="preserve">Table </w:t>
      </w:r>
      <w:fldSimple w:instr=" STYLEREF 1 \s ">
        <w:r w:rsidR="004A7BE8">
          <w:rPr>
            <w:noProof/>
          </w:rPr>
          <w:t>4</w:t>
        </w:r>
      </w:fldSimple>
      <w:r w:rsidR="0088207A">
        <w:t>–</w:t>
      </w:r>
      <w:r>
        <w:t>4</w:t>
      </w:r>
      <w:r w:rsidRPr="00401B10">
        <w:t xml:space="preserve">: </w:t>
      </w:r>
      <w:r>
        <w:t xml:space="preserve">Distribution of </w:t>
      </w:r>
      <w:r w:rsidR="005C7A57">
        <w:t xml:space="preserve">Average </w:t>
      </w:r>
      <w:r w:rsidR="005C7A57" w:rsidRPr="005C7A57">
        <w:t>Event-Hour</w:t>
      </w:r>
      <w:r w:rsidRPr="00401B10">
        <w:t xml:space="preserve"> Load Impacts by </w:t>
      </w:r>
      <w:r>
        <w:t>LCA</w:t>
      </w:r>
      <w:r w:rsidRPr="00401B10">
        <w:t xml:space="preserve"> – </w:t>
      </w:r>
      <w:r w:rsidRPr="00401B10">
        <w:rPr>
          <w:i/>
        </w:rPr>
        <w:t>PG&amp;</w:t>
      </w:r>
      <w:smartTag w:uri="urn:schemas-microsoft-com:office:smarttags" w:element="place">
        <w:r w:rsidRPr="00401B10">
          <w:rPr>
            <w:i/>
          </w:rPr>
          <w:t>E CBP</w:t>
        </w:r>
      </w:smartTag>
      <w:bookmarkEnd w:id="62"/>
    </w:p>
    <w:p w:rsidR="004802FD" w:rsidRDefault="009E71B1" w:rsidP="004802FD">
      <w:pPr>
        <w:jc w:val="center"/>
        <w:rPr>
          <w:noProof/>
        </w:rPr>
      </w:pPr>
      <w:r w:rsidRPr="009E71B1">
        <w:rPr>
          <w:noProof/>
        </w:rPr>
        <w:drawing>
          <wp:inline distT="0" distB="0" distL="0" distR="0" wp14:anchorId="6D71E912" wp14:editId="46073666">
            <wp:extent cx="5486400" cy="3756129"/>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3756129"/>
                    </a:xfrm>
                    <a:prstGeom prst="rect">
                      <a:avLst/>
                    </a:prstGeom>
                    <a:noFill/>
                    <a:ln>
                      <a:noFill/>
                    </a:ln>
                  </pic:spPr>
                </pic:pic>
              </a:graphicData>
            </a:graphic>
          </wp:inline>
        </w:drawing>
      </w:r>
    </w:p>
    <w:p w:rsidR="004802FD" w:rsidRPr="00441884" w:rsidRDefault="004802FD" w:rsidP="009E4890"/>
    <w:p w:rsidR="00401B10" w:rsidRDefault="00401B10" w:rsidP="00401B10">
      <w:pPr>
        <w:pStyle w:val="Heading3"/>
        <w:rPr>
          <w:sz w:val="22"/>
          <w:szCs w:val="22"/>
        </w:rPr>
      </w:pPr>
      <w:bookmarkStart w:id="63" w:name="_Toc415231755"/>
      <w:r w:rsidRPr="007D59C2">
        <w:rPr>
          <w:sz w:val="22"/>
          <w:szCs w:val="22"/>
        </w:rPr>
        <w:t>4.</w:t>
      </w:r>
      <w:r w:rsidR="00E46171">
        <w:rPr>
          <w:sz w:val="22"/>
          <w:szCs w:val="22"/>
        </w:rPr>
        <w:t>1</w:t>
      </w:r>
      <w:r w:rsidRPr="007D59C2">
        <w:rPr>
          <w:sz w:val="22"/>
          <w:szCs w:val="22"/>
        </w:rPr>
        <w:t>.</w:t>
      </w:r>
      <w:r w:rsidR="00E46171">
        <w:rPr>
          <w:sz w:val="22"/>
          <w:szCs w:val="22"/>
        </w:rPr>
        <w:t>3</w:t>
      </w:r>
      <w:r w:rsidRPr="007D59C2">
        <w:rPr>
          <w:sz w:val="22"/>
          <w:szCs w:val="22"/>
        </w:rPr>
        <w:t xml:space="preserve"> </w:t>
      </w:r>
      <w:r>
        <w:rPr>
          <w:sz w:val="22"/>
          <w:szCs w:val="22"/>
        </w:rPr>
        <w:t>Hourl</w:t>
      </w:r>
      <w:r w:rsidRPr="007D59C2">
        <w:rPr>
          <w:sz w:val="22"/>
          <w:szCs w:val="22"/>
        </w:rPr>
        <w:t>y load impacts</w:t>
      </w:r>
      <w:bookmarkEnd w:id="63"/>
    </w:p>
    <w:p w:rsidR="00211752" w:rsidRDefault="00211752" w:rsidP="00C71901">
      <w:r w:rsidRPr="00211752">
        <w:t>Figures</w:t>
      </w:r>
      <w:r>
        <w:t xml:space="preserve"> 4</w:t>
      </w:r>
      <w:r w:rsidR="00BF6C03">
        <w:t>–</w:t>
      </w:r>
      <w:r>
        <w:t>1 and 4</w:t>
      </w:r>
      <w:r w:rsidR="00BF6C03">
        <w:t>–</w:t>
      </w:r>
      <w:r>
        <w:t xml:space="preserve">2 illustrate the hourly profiles of the estimated reference load, observed load and estimated load impacts (in MW) </w:t>
      </w:r>
      <w:r w:rsidR="005C7A57">
        <w:t>for</w:t>
      </w:r>
      <w:r>
        <w:t xml:space="preserve"> the PG&amp;E CBP D</w:t>
      </w:r>
      <w:r w:rsidR="00145292">
        <w:t>O</w:t>
      </w:r>
      <w:r>
        <w:t xml:space="preserve"> </w:t>
      </w:r>
      <w:r w:rsidR="00F361E7">
        <w:t xml:space="preserve">1-4 </w:t>
      </w:r>
      <w:r>
        <w:t xml:space="preserve">and DO </w:t>
      </w:r>
      <w:r w:rsidR="00145292">
        <w:t>2</w:t>
      </w:r>
      <w:r>
        <w:t>-</w:t>
      </w:r>
      <w:r w:rsidR="00145292">
        <w:t>6</w:t>
      </w:r>
      <w:r>
        <w:t xml:space="preserve"> product types for the </w:t>
      </w:r>
      <w:r w:rsidR="00F361E7">
        <w:t xml:space="preserve">four-hour July </w:t>
      </w:r>
      <w:r w:rsidR="00145292">
        <w:t>2</w:t>
      </w:r>
      <w:r w:rsidR="004836A7">
        <w:t>8</w:t>
      </w:r>
      <w:r w:rsidR="00F361E7">
        <w:t xml:space="preserve"> </w:t>
      </w:r>
      <w:r>
        <w:t>event</w:t>
      </w:r>
      <w:r w:rsidR="00F361E7">
        <w:t>, which was called for hours-ending 16 to 19</w:t>
      </w:r>
      <w:r>
        <w:t>.</w:t>
      </w:r>
      <w:r w:rsidR="00DC671B">
        <w:t xml:space="preserve"> The data underlying the figures are available in the Excel-based Protocol table generators that are </w:t>
      </w:r>
      <w:r w:rsidR="003B525C">
        <w:t>included as appendices to</w:t>
      </w:r>
      <w:r w:rsidR="00DC671B">
        <w:t xml:space="preserve"> this report.</w:t>
      </w:r>
    </w:p>
    <w:p w:rsidR="00C71901" w:rsidRPr="00211752" w:rsidRDefault="00211752" w:rsidP="00C71901">
      <w:r w:rsidRPr="00211752">
        <w:t xml:space="preserve"> </w:t>
      </w:r>
    </w:p>
    <w:p w:rsidR="00F65002" w:rsidRPr="00F65002" w:rsidRDefault="00F65002" w:rsidP="00BF6C03">
      <w:pPr>
        <w:pStyle w:val="FigureCaption"/>
      </w:pPr>
      <w:bookmarkStart w:id="64" w:name="_Toc412549190"/>
      <w:r w:rsidRPr="00F65002">
        <w:lastRenderedPageBreak/>
        <w:t xml:space="preserve">Figure </w:t>
      </w:r>
      <w:fldSimple w:instr=" STYLEREF 1 \s ">
        <w:r w:rsidR="004A7BE8">
          <w:rPr>
            <w:noProof/>
          </w:rPr>
          <w:t>4</w:t>
        </w:r>
      </w:fldSimple>
      <w:r w:rsidR="0088207A">
        <w:t>–</w:t>
      </w:r>
      <w:fldSimple w:instr=" SEQ Figure \* ARABIC \s 1 ">
        <w:r w:rsidR="004A7BE8">
          <w:rPr>
            <w:noProof/>
          </w:rPr>
          <w:t>1</w:t>
        </w:r>
      </w:fldSimple>
      <w:r w:rsidRPr="00F65002">
        <w:t xml:space="preserve">: Hourly Loads and Load Impacts – </w:t>
      </w:r>
      <w:r>
        <w:t>PG&amp;</w:t>
      </w:r>
      <w:r w:rsidRPr="00F65002">
        <w:t>E CBP D</w:t>
      </w:r>
      <w:r w:rsidR="00145292">
        <w:t>O</w:t>
      </w:r>
      <w:r w:rsidR="00211752">
        <w:t xml:space="preserve"> 1-4</w:t>
      </w:r>
      <w:r w:rsidRPr="00F65002">
        <w:t xml:space="preserve"> </w:t>
      </w:r>
      <w:r w:rsidR="00B85104">
        <w:br/>
      </w:r>
      <w:r w:rsidR="00DD379A">
        <w:rPr>
          <w:i/>
        </w:rPr>
        <w:t>July 28</w:t>
      </w:r>
      <w:r w:rsidR="00AF54DF">
        <w:rPr>
          <w:i/>
        </w:rPr>
        <w:t xml:space="preserve">, </w:t>
      </w:r>
      <w:r w:rsidR="007A67BB">
        <w:rPr>
          <w:i/>
        </w:rPr>
        <w:t>2014</w:t>
      </w:r>
      <w:r w:rsidRPr="00B85104">
        <w:rPr>
          <w:i/>
        </w:rPr>
        <w:t xml:space="preserve"> Event</w:t>
      </w:r>
      <w:bookmarkEnd w:id="64"/>
    </w:p>
    <w:p w:rsidR="00261465" w:rsidRDefault="00DD379A" w:rsidP="00C71901">
      <w:pPr>
        <w:jc w:val="center"/>
      </w:pPr>
      <w:r w:rsidRPr="00DD379A">
        <w:rPr>
          <w:noProof/>
        </w:rPr>
        <w:drawing>
          <wp:inline distT="0" distB="0" distL="0" distR="0" wp14:anchorId="1DBEBF66" wp14:editId="39C16573">
            <wp:extent cx="5138928" cy="3483864"/>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138928" cy="3483864"/>
                    </a:xfrm>
                    <a:prstGeom prst="rect">
                      <a:avLst/>
                    </a:prstGeom>
                    <a:noFill/>
                    <a:ln>
                      <a:noFill/>
                    </a:ln>
                  </pic:spPr>
                </pic:pic>
              </a:graphicData>
            </a:graphic>
          </wp:inline>
        </w:drawing>
      </w:r>
    </w:p>
    <w:p w:rsidR="00251C77" w:rsidRPr="00F361E7" w:rsidRDefault="00251C77" w:rsidP="00C71901">
      <w:pPr>
        <w:jc w:val="center"/>
      </w:pPr>
    </w:p>
    <w:p w:rsidR="00F65002" w:rsidRPr="00F65002" w:rsidRDefault="00F65002" w:rsidP="00BF6C03">
      <w:pPr>
        <w:pStyle w:val="FigureCaption"/>
      </w:pPr>
      <w:bookmarkStart w:id="65" w:name="_Toc412549191"/>
      <w:r w:rsidRPr="00F65002">
        <w:t xml:space="preserve">Figure </w:t>
      </w:r>
      <w:fldSimple w:instr=" STYLEREF 1 \s ">
        <w:r w:rsidR="004A7BE8">
          <w:rPr>
            <w:noProof/>
          </w:rPr>
          <w:t>4</w:t>
        </w:r>
      </w:fldSimple>
      <w:r w:rsidR="0088207A">
        <w:t>–</w:t>
      </w:r>
      <w:r>
        <w:t>2</w:t>
      </w:r>
      <w:r w:rsidRPr="00F65002">
        <w:t xml:space="preserve">: Hourly Loads and Load Impacts – </w:t>
      </w:r>
      <w:r>
        <w:t>PG&amp;E</w:t>
      </w:r>
      <w:r w:rsidRPr="00F65002">
        <w:t xml:space="preserve"> CBP DO </w:t>
      </w:r>
      <w:r w:rsidR="00145292">
        <w:t>2</w:t>
      </w:r>
      <w:r w:rsidRPr="00F65002">
        <w:t>-</w:t>
      </w:r>
      <w:r w:rsidR="00145292">
        <w:t>6</w:t>
      </w:r>
      <w:r w:rsidRPr="00F65002">
        <w:t xml:space="preserve"> </w:t>
      </w:r>
      <w:r w:rsidR="00B85104">
        <w:br/>
      </w:r>
      <w:r w:rsidR="00DD379A">
        <w:rPr>
          <w:i/>
        </w:rPr>
        <w:t>July 28</w:t>
      </w:r>
      <w:r w:rsidR="00AF54DF">
        <w:rPr>
          <w:i/>
        </w:rPr>
        <w:t xml:space="preserve">, </w:t>
      </w:r>
      <w:r w:rsidR="007A67BB">
        <w:rPr>
          <w:i/>
        </w:rPr>
        <w:t>2014</w:t>
      </w:r>
      <w:r w:rsidR="00B85104" w:rsidRPr="00B85104">
        <w:rPr>
          <w:i/>
        </w:rPr>
        <w:t xml:space="preserve"> </w:t>
      </w:r>
      <w:r w:rsidRPr="00B85104">
        <w:rPr>
          <w:i/>
        </w:rPr>
        <w:t>Event</w:t>
      </w:r>
      <w:bookmarkEnd w:id="65"/>
    </w:p>
    <w:p w:rsidR="009627F3" w:rsidRPr="00F361E7" w:rsidRDefault="00DD379A" w:rsidP="00C71901">
      <w:pPr>
        <w:jc w:val="center"/>
      </w:pPr>
      <w:r w:rsidRPr="00DD379A">
        <w:rPr>
          <w:noProof/>
        </w:rPr>
        <w:drawing>
          <wp:inline distT="0" distB="0" distL="0" distR="0" wp14:anchorId="4B5DCBDC" wp14:editId="6862A404">
            <wp:extent cx="5065776" cy="3438144"/>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65776" cy="3438144"/>
                    </a:xfrm>
                    <a:prstGeom prst="rect">
                      <a:avLst/>
                    </a:prstGeom>
                    <a:noFill/>
                    <a:ln>
                      <a:noFill/>
                    </a:ln>
                  </pic:spPr>
                </pic:pic>
              </a:graphicData>
            </a:graphic>
          </wp:inline>
        </w:drawing>
      </w:r>
    </w:p>
    <w:p w:rsidR="0014561D" w:rsidRDefault="0014561D" w:rsidP="0014561D">
      <w:pPr>
        <w:pStyle w:val="Heading3"/>
        <w:rPr>
          <w:sz w:val="22"/>
          <w:szCs w:val="22"/>
        </w:rPr>
      </w:pPr>
      <w:bookmarkStart w:id="66" w:name="_Toc415231756"/>
      <w:r w:rsidRPr="00F671E5">
        <w:rPr>
          <w:sz w:val="22"/>
          <w:szCs w:val="22"/>
        </w:rPr>
        <w:lastRenderedPageBreak/>
        <w:t>4.1.4 Load impacts of TA/TI and AutoDR participants</w:t>
      </w:r>
      <w:bookmarkEnd w:id="66"/>
    </w:p>
    <w:p w:rsidR="003B525C" w:rsidRDefault="003B525C" w:rsidP="003B525C">
      <w:r>
        <w:t xml:space="preserve">This section describes the </w:t>
      </w:r>
      <w:r w:rsidR="00B74B13" w:rsidRPr="00B74B13">
        <w:rPr>
          <w:i/>
        </w:rPr>
        <w:t>ex-post</w:t>
      </w:r>
      <w:r>
        <w:t xml:space="preserve"> load impacts achieved by PG&amp;E CBP </w:t>
      </w:r>
      <w:r w:rsidR="00595F10">
        <w:t>service accounts</w:t>
      </w:r>
      <w:r>
        <w:t xml:space="preserve"> that participated </w:t>
      </w:r>
      <w:r w:rsidR="006B7C16">
        <w:t xml:space="preserve">in TA/TI or AutoDR at some point in the </w:t>
      </w:r>
      <w:r w:rsidR="00557240">
        <w:t>current or previous years</w:t>
      </w:r>
      <w:r w:rsidR="006B7C16">
        <w:t>.</w:t>
      </w:r>
      <w:r w:rsidR="0077445D">
        <w:t xml:space="preserve"> The </w:t>
      </w:r>
      <w:r w:rsidR="0077445D" w:rsidRPr="0077445D">
        <w:rPr>
          <w:i/>
        </w:rPr>
        <w:t>ex-post</w:t>
      </w:r>
      <w:r w:rsidR="0077445D">
        <w:t xml:space="preserve"> load impacts reported here for these customers should not, however, be interpreted as the incremental impacts due to the technology programs.</w:t>
      </w:r>
    </w:p>
    <w:p w:rsidR="003B525C" w:rsidRDefault="003B525C" w:rsidP="003B525C"/>
    <w:p w:rsidR="006B7C16" w:rsidRDefault="006B7C16" w:rsidP="006B7C16">
      <w:pPr>
        <w:rPr>
          <w:szCs w:val="24"/>
        </w:rPr>
      </w:pPr>
      <w:r>
        <w:t>The Automated Demand Response (AutoDR) program provides customers incentives to invest in energy management technologies that will enable their equipment or facilities to reduce demand automatically in response to a physical signal sent from the utility. It encourages customers to expand their energy management capabilities by participating in DR programs using automated electric controls and management strategies.</w:t>
      </w:r>
    </w:p>
    <w:p w:rsidR="006B7C16" w:rsidRDefault="006B7C16" w:rsidP="006B7C16"/>
    <w:p w:rsidR="003B525C" w:rsidRDefault="006B7C16" w:rsidP="003B525C">
      <w:r>
        <w:t xml:space="preserve">The Technical Assistance and Technology Incentives (TA/TI) program is no longer offered by the IOUs, but we summarize load impacts from customers that received program incentives in the past. The program had two parts: technical assistance </w:t>
      </w:r>
      <w:r w:rsidR="00557240">
        <w:t xml:space="preserve">(TA) </w:t>
      </w:r>
      <w:r>
        <w:t>in the form of energy audits, and technology incentives</w:t>
      </w:r>
      <w:r w:rsidR="00557240">
        <w:t xml:space="preserve"> (TI)</w:t>
      </w:r>
      <w:r>
        <w:t xml:space="preserve">. The objective of the TA portion of the program was to subsidize customer energy audits that had the objective of identifying ways in which customers could reduce load during DR events. The TI portion of the program provided incentive payments for the installation of equipment or control software supporting DR. </w:t>
      </w:r>
    </w:p>
    <w:p w:rsidR="003B525C" w:rsidRDefault="003B525C" w:rsidP="003B525C"/>
    <w:p w:rsidR="003B525C" w:rsidRDefault="00F40003" w:rsidP="003B525C">
      <w:r>
        <w:t>Table 4</w:t>
      </w:r>
      <w:r w:rsidR="00130B7D">
        <w:t>–</w:t>
      </w:r>
      <w:r>
        <w:softHyphen/>
        <w:t>5 and 4</w:t>
      </w:r>
      <w:r w:rsidR="00130B7D">
        <w:t>–</w:t>
      </w:r>
      <w:r>
        <w:softHyphen/>
        <w:t>6</w:t>
      </w:r>
      <w:r w:rsidR="003B525C">
        <w:t xml:space="preserve"> summarize </w:t>
      </w:r>
      <w:r>
        <w:t xml:space="preserve">event-specific </w:t>
      </w:r>
      <w:r w:rsidR="003B525C" w:rsidRPr="00373E7C">
        <w:rPr>
          <w:i/>
        </w:rPr>
        <w:t>total</w:t>
      </w:r>
      <w:r w:rsidR="003B525C">
        <w:t xml:space="preserve"> load impacts for TA/TI and AutoDR</w:t>
      </w:r>
      <w:r>
        <w:t xml:space="preserve"> participants</w:t>
      </w:r>
      <w:r w:rsidR="00130B7D">
        <w:t>,</w:t>
      </w:r>
      <w:r>
        <w:t xml:space="preserve"> respectively</w:t>
      </w:r>
      <w:r w:rsidR="006B7C16">
        <w:t>, that received TA/TI or AutoDR incentives at some point prior to the DR event(s) summarized</w:t>
      </w:r>
      <w:r w:rsidR="003B525C">
        <w:t>. The</w:t>
      </w:r>
      <w:r>
        <w:t>s</w:t>
      </w:r>
      <w:r w:rsidR="003B525C">
        <w:t xml:space="preserve">e </w:t>
      </w:r>
      <w:r>
        <w:t>represent</w:t>
      </w:r>
      <w:r w:rsidR="003B525C">
        <w:t xml:space="preserve"> the sum of the estimated load impacts for customers in each program, as estimated using the </w:t>
      </w:r>
      <w:r>
        <w:t xml:space="preserve">customer-level </w:t>
      </w:r>
      <w:r w:rsidR="00B74B13" w:rsidRPr="00B74B13">
        <w:rPr>
          <w:i/>
        </w:rPr>
        <w:t>ex-post</w:t>
      </w:r>
      <w:r>
        <w:t xml:space="preserve"> regression </w:t>
      </w:r>
      <w:r w:rsidR="003B525C">
        <w:t xml:space="preserve">methods. </w:t>
      </w:r>
    </w:p>
    <w:p w:rsidR="003B525C" w:rsidRDefault="003B525C" w:rsidP="003B525C"/>
    <w:p w:rsidR="003B525C" w:rsidRDefault="003B525C" w:rsidP="003B525C">
      <w:r>
        <w:t>Table 4</w:t>
      </w:r>
      <w:r w:rsidR="00130B7D">
        <w:t>–</w:t>
      </w:r>
      <w:r w:rsidR="00F40003">
        <w:softHyphen/>
        <w:t xml:space="preserve">5 </w:t>
      </w:r>
      <w:r>
        <w:t>shows th</w:t>
      </w:r>
      <w:r w:rsidR="00F40003">
        <w:t xml:space="preserve">at an average of </w:t>
      </w:r>
      <w:r w:rsidR="00EB7AF4">
        <w:t>one</w:t>
      </w:r>
      <w:r w:rsidR="00F671E5">
        <w:t xml:space="preserve"> </w:t>
      </w:r>
      <w:r w:rsidR="00F40003">
        <w:t xml:space="preserve">CBP </w:t>
      </w:r>
      <w:r w:rsidR="00F671E5">
        <w:t xml:space="preserve">DA </w:t>
      </w:r>
      <w:r w:rsidR="00F40003">
        <w:t xml:space="preserve">customer </w:t>
      </w:r>
      <w:r w:rsidR="00F671E5">
        <w:t>and 3</w:t>
      </w:r>
      <w:r w:rsidR="00EB7AF4">
        <w:t>5</w:t>
      </w:r>
      <w:r w:rsidR="00F671E5">
        <w:t xml:space="preserve"> CBP DO customers </w:t>
      </w:r>
      <w:r w:rsidR="00F40003">
        <w:t xml:space="preserve">participated in TA/TI and achieved </w:t>
      </w:r>
      <w:r>
        <w:t>load impact</w:t>
      </w:r>
      <w:r w:rsidR="00F40003">
        <w:t>s</w:t>
      </w:r>
      <w:r>
        <w:t xml:space="preserve"> </w:t>
      </w:r>
      <w:r w:rsidR="00F40003">
        <w:t xml:space="preserve">for the average event of </w:t>
      </w:r>
      <w:r w:rsidR="00F671E5">
        <w:t>0</w:t>
      </w:r>
      <w:r w:rsidR="00F40003">
        <w:t>.</w:t>
      </w:r>
      <w:r w:rsidR="00F671E5">
        <w:t>2</w:t>
      </w:r>
      <w:r w:rsidR="00F40003">
        <w:t xml:space="preserve"> </w:t>
      </w:r>
      <w:r w:rsidR="00F671E5">
        <w:t xml:space="preserve">and </w:t>
      </w:r>
      <w:r w:rsidR="00EB7AF4">
        <w:t>1</w:t>
      </w:r>
      <w:r w:rsidR="00F671E5">
        <w:t>.</w:t>
      </w:r>
      <w:r w:rsidR="00EB7AF4">
        <w:t>2</w:t>
      </w:r>
      <w:r w:rsidR="00F671E5">
        <w:t xml:space="preserve">2 </w:t>
      </w:r>
      <w:r w:rsidR="00F40003">
        <w:t>MW</w:t>
      </w:r>
      <w:r w:rsidR="00F671E5">
        <w:t xml:space="preserve"> respectively</w:t>
      </w:r>
      <w:r>
        <w:t>. T</w:t>
      </w:r>
      <w:r w:rsidR="00791E8B">
        <w:t>he rightmost column</w:t>
      </w:r>
      <w:r w:rsidR="001714DB">
        <w:t xml:space="preserve"> (Load Shed</w:t>
      </w:r>
      <w:r w:rsidR="001714DB" w:rsidRPr="001714DB">
        <w:t xml:space="preserve"> </w:t>
      </w:r>
      <w:r w:rsidR="001714DB">
        <w:t>Test)</w:t>
      </w:r>
      <w:r w:rsidR="00791E8B">
        <w:t xml:space="preserve"> </w:t>
      </w:r>
      <w:r>
        <w:t xml:space="preserve">shows the total </w:t>
      </w:r>
      <w:r w:rsidR="00791E8B">
        <w:t xml:space="preserve">load </w:t>
      </w:r>
      <w:r w:rsidR="00014920">
        <w:t>shed</w:t>
      </w:r>
      <w:r>
        <w:t xml:space="preserve"> </w:t>
      </w:r>
      <w:r w:rsidR="001714DB">
        <w:t>amount</w:t>
      </w:r>
      <w:r w:rsidR="00EB7AF4">
        <w:t>s</w:t>
      </w:r>
      <w:r w:rsidR="001714DB">
        <w:t xml:space="preserve"> </w:t>
      </w:r>
      <w:r>
        <w:t>approved following the TA/TI DR test</w:t>
      </w:r>
      <w:r w:rsidR="00EB7AF4">
        <w:t>, which are .76 MW and 4 MW for DA and DO respectively</w:t>
      </w:r>
      <w:r>
        <w:t>.</w:t>
      </w:r>
    </w:p>
    <w:p w:rsidR="003B525C" w:rsidRDefault="003B525C" w:rsidP="00F93512"/>
    <w:p w:rsidR="0014561D" w:rsidRPr="00401B10" w:rsidRDefault="0014561D" w:rsidP="0014561D">
      <w:pPr>
        <w:pStyle w:val="TableCaption"/>
      </w:pPr>
      <w:bookmarkStart w:id="67" w:name="_Toc414545889"/>
      <w:r w:rsidRPr="00401B10">
        <w:lastRenderedPageBreak/>
        <w:t xml:space="preserve">Table </w:t>
      </w:r>
      <w:fldSimple w:instr=" STYLEREF 1 \s ">
        <w:r w:rsidR="004A7BE8">
          <w:rPr>
            <w:noProof/>
          </w:rPr>
          <w:t>4</w:t>
        </w:r>
      </w:fldSimple>
      <w:r>
        <w:t>–5</w:t>
      </w:r>
      <w:r w:rsidRPr="00401B10">
        <w:t xml:space="preserve">: Load Impacts </w:t>
      </w:r>
      <w:r>
        <w:t>of TA/TI Participants</w:t>
      </w:r>
      <w:r w:rsidRPr="00401B10">
        <w:t xml:space="preserve"> – </w:t>
      </w:r>
      <w:r w:rsidRPr="00401B10">
        <w:rPr>
          <w:i/>
        </w:rPr>
        <w:t>PG&amp;</w:t>
      </w:r>
      <w:smartTag w:uri="urn:schemas-microsoft-com:office:smarttags" w:element="place">
        <w:r w:rsidRPr="00401B10">
          <w:rPr>
            <w:i/>
          </w:rPr>
          <w:t>E CBP</w:t>
        </w:r>
      </w:smartTag>
      <w:bookmarkEnd w:id="67"/>
    </w:p>
    <w:p w:rsidR="00F93512" w:rsidRDefault="009E71B1" w:rsidP="00EB7AF4">
      <w:pPr>
        <w:jc w:val="center"/>
      </w:pPr>
      <w:r w:rsidRPr="009E71B1">
        <w:rPr>
          <w:noProof/>
        </w:rPr>
        <w:drawing>
          <wp:inline distT="0" distB="0" distL="0" distR="0" wp14:anchorId="2B3B1947" wp14:editId="15457AE2">
            <wp:extent cx="4945380" cy="4945380"/>
            <wp:effectExtent l="0" t="0" r="7620" b="762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45380" cy="4945380"/>
                    </a:xfrm>
                    <a:prstGeom prst="rect">
                      <a:avLst/>
                    </a:prstGeom>
                    <a:noFill/>
                    <a:ln>
                      <a:noFill/>
                    </a:ln>
                  </pic:spPr>
                </pic:pic>
              </a:graphicData>
            </a:graphic>
          </wp:inline>
        </w:drawing>
      </w:r>
    </w:p>
    <w:p w:rsidR="00EB7AF4" w:rsidRDefault="00EB7AF4" w:rsidP="00F93512"/>
    <w:p w:rsidR="0014561D" w:rsidRDefault="00C26D80" w:rsidP="00F93512">
      <w:r>
        <w:t xml:space="preserve">Table </w:t>
      </w:r>
      <w:r w:rsidR="003B525C">
        <w:t>4</w:t>
      </w:r>
      <w:r w:rsidR="003B525C">
        <w:softHyphen/>
      </w:r>
      <w:r w:rsidR="00130B7D">
        <w:t>–</w:t>
      </w:r>
      <w:r w:rsidR="003B525C">
        <w:t>6</w:t>
      </w:r>
      <w:r>
        <w:t xml:space="preserve"> shows comparable information for CBP customers </w:t>
      </w:r>
      <w:r w:rsidR="006B7C16">
        <w:t>that received AutoDR incentives at some point prior to the DR event(s) summarized</w:t>
      </w:r>
      <w:r>
        <w:t xml:space="preserve">. An average of </w:t>
      </w:r>
      <w:r w:rsidR="006963DE">
        <w:t xml:space="preserve">12 DA and </w:t>
      </w:r>
      <w:r w:rsidR="00F671E5">
        <w:t>44</w:t>
      </w:r>
      <w:r>
        <w:t xml:space="preserve"> </w:t>
      </w:r>
      <w:r w:rsidR="00F671E5">
        <w:t xml:space="preserve">DO </w:t>
      </w:r>
      <w:r>
        <w:t xml:space="preserve">customers are AutoDR participants, and their estimated load impacts for the average event are </w:t>
      </w:r>
      <w:r w:rsidR="00F671E5">
        <w:t>0</w:t>
      </w:r>
      <w:r>
        <w:t>.</w:t>
      </w:r>
      <w:r w:rsidR="006963DE">
        <w:t>52</w:t>
      </w:r>
      <w:r>
        <w:t xml:space="preserve"> MW</w:t>
      </w:r>
      <w:r w:rsidR="006963DE">
        <w:t xml:space="preserve"> and 0.82 MW</w:t>
      </w:r>
      <w:r>
        <w:t>.</w:t>
      </w:r>
      <w:r w:rsidR="00F671E5">
        <w:t xml:space="preserve"> </w:t>
      </w:r>
      <w:r w:rsidR="006963DE">
        <w:t>The load shed test amounts are 1.5 MW for DA and 7.4 MW for DO.</w:t>
      </w:r>
    </w:p>
    <w:p w:rsidR="00C26D80" w:rsidRDefault="00C26D80" w:rsidP="00F93512"/>
    <w:p w:rsidR="0014561D" w:rsidRPr="00401B10" w:rsidRDefault="0014561D" w:rsidP="0014561D">
      <w:pPr>
        <w:pStyle w:val="TableCaption"/>
      </w:pPr>
      <w:bookmarkStart w:id="68" w:name="_Toc414545890"/>
      <w:r w:rsidRPr="00401B10">
        <w:lastRenderedPageBreak/>
        <w:t xml:space="preserve">Table </w:t>
      </w:r>
      <w:fldSimple w:instr=" STYLEREF 1 \s ">
        <w:r w:rsidR="004A7BE8">
          <w:rPr>
            <w:noProof/>
          </w:rPr>
          <w:t>4</w:t>
        </w:r>
      </w:fldSimple>
      <w:r>
        <w:t>–6</w:t>
      </w:r>
      <w:r w:rsidRPr="00401B10">
        <w:t xml:space="preserve">: Load Impacts </w:t>
      </w:r>
      <w:r>
        <w:t>of AutoDR Participants</w:t>
      </w:r>
      <w:r w:rsidRPr="00401B10">
        <w:t xml:space="preserve"> – </w:t>
      </w:r>
      <w:r w:rsidRPr="00401B10">
        <w:rPr>
          <w:i/>
        </w:rPr>
        <w:t>PG&amp;</w:t>
      </w:r>
      <w:smartTag w:uri="urn:schemas-microsoft-com:office:smarttags" w:element="place">
        <w:r w:rsidRPr="00401B10">
          <w:rPr>
            <w:i/>
          </w:rPr>
          <w:t>E CBP</w:t>
        </w:r>
      </w:smartTag>
      <w:bookmarkEnd w:id="68"/>
    </w:p>
    <w:p w:rsidR="00F93512" w:rsidRDefault="009E71B1" w:rsidP="00F93512">
      <w:r w:rsidRPr="009E71B1">
        <w:rPr>
          <w:noProof/>
        </w:rPr>
        <w:drawing>
          <wp:inline distT="0" distB="0" distL="0" distR="0" wp14:anchorId="2587EB86" wp14:editId="6A6328BA">
            <wp:extent cx="4945380" cy="5295900"/>
            <wp:effectExtent l="0" t="0" r="762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45380" cy="5295900"/>
                    </a:xfrm>
                    <a:prstGeom prst="rect">
                      <a:avLst/>
                    </a:prstGeom>
                    <a:noFill/>
                    <a:ln>
                      <a:noFill/>
                    </a:ln>
                  </pic:spPr>
                </pic:pic>
              </a:graphicData>
            </a:graphic>
          </wp:inline>
        </w:drawing>
      </w:r>
    </w:p>
    <w:p w:rsidR="00006061" w:rsidRDefault="00D23AC1" w:rsidP="00C71901">
      <w:pPr>
        <w:pStyle w:val="Heading2"/>
      </w:pPr>
      <w:r>
        <w:br w:type="page"/>
      </w:r>
      <w:bookmarkStart w:id="69" w:name="_Toc415231757"/>
      <w:r w:rsidR="00006061" w:rsidRPr="00C2497F">
        <w:lastRenderedPageBreak/>
        <w:t>4.2 Capacity Bidding Program (CBP) – SCE</w:t>
      </w:r>
      <w:bookmarkEnd w:id="69"/>
    </w:p>
    <w:p w:rsidR="00E46171" w:rsidRDefault="00E46171" w:rsidP="00E46171">
      <w:pPr>
        <w:pStyle w:val="Heading3"/>
        <w:rPr>
          <w:sz w:val="22"/>
          <w:szCs w:val="22"/>
        </w:rPr>
      </w:pPr>
      <w:bookmarkStart w:id="70" w:name="_Toc415231758"/>
      <w:r w:rsidRPr="007D59C2">
        <w:rPr>
          <w:sz w:val="22"/>
          <w:szCs w:val="22"/>
        </w:rPr>
        <w:t>4.</w:t>
      </w:r>
      <w:r>
        <w:rPr>
          <w:sz w:val="22"/>
          <w:szCs w:val="22"/>
        </w:rPr>
        <w:t>2</w:t>
      </w:r>
      <w:r w:rsidRPr="007D59C2">
        <w:rPr>
          <w:sz w:val="22"/>
          <w:szCs w:val="22"/>
        </w:rPr>
        <w:t xml:space="preserve">.1 </w:t>
      </w:r>
      <w:r>
        <w:rPr>
          <w:sz w:val="22"/>
          <w:szCs w:val="22"/>
        </w:rPr>
        <w:t>Events for SCE CBP</w:t>
      </w:r>
      <w:bookmarkEnd w:id="70"/>
    </w:p>
    <w:p w:rsidR="00E46171" w:rsidRDefault="00E46171" w:rsidP="00E46171">
      <w:r w:rsidRPr="00E46171">
        <w:t xml:space="preserve">Table </w:t>
      </w:r>
      <w:r>
        <w:t>4</w:t>
      </w:r>
      <w:r w:rsidR="00BF6C03">
        <w:t>–</w:t>
      </w:r>
      <w:r w:rsidR="00791E8B">
        <w:t>7</w:t>
      </w:r>
      <w:r w:rsidR="00654AFD">
        <w:t xml:space="preserve"> </w:t>
      </w:r>
      <w:r w:rsidR="00292D3C">
        <w:t>list</w:t>
      </w:r>
      <w:r w:rsidR="00654AFD">
        <w:t>s</w:t>
      </w:r>
      <w:r>
        <w:t xml:space="preserve"> the events called for SCE</w:t>
      </w:r>
      <w:r w:rsidR="002961ED">
        <w:t>’</w:t>
      </w:r>
      <w:r>
        <w:t>s CBP program</w:t>
      </w:r>
      <w:r w:rsidR="00292D3C">
        <w:t xml:space="preserve"> in </w:t>
      </w:r>
      <w:r w:rsidR="007A67BB">
        <w:t>2014</w:t>
      </w:r>
      <w:r>
        <w:t xml:space="preserve">. </w:t>
      </w:r>
      <w:r w:rsidR="00654AFD">
        <w:t xml:space="preserve">An unusual February event was called in 2014. Most events were called for only </w:t>
      </w:r>
      <w:r>
        <w:t xml:space="preserve">DA </w:t>
      </w:r>
      <w:r w:rsidR="00654AFD">
        <w:t xml:space="preserve">or DO notice. Only the </w:t>
      </w:r>
      <w:r w:rsidR="00B569E2">
        <w:t>events</w:t>
      </w:r>
      <w:r w:rsidR="00292D3C">
        <w:t xml:space="preserve"> </w:t>
      </w:r>
      <w:r w:rsidR="00654AFD">
        <w:t xml:space="preserve">on </w:t>
      </w:r>
      <w:r w:rsidR="00B569E2">
        <w:t>September</w:t>
      </w:r>
      <w:r w:rsidR="00292D3C">
        <w:t xml:space="preserve"> </w:t>
      </w:r>
      <w:r w:rsidR="00654AFD">
        <w:t xml:space="preserve">15 and 16, and October 6 involved </w:t>
      </w:r>
      <w:r w:rsidR="00B569E2">
        <w:t xml:space="preserve">all DA </w:t>
      </w:r>
      <w:r w:rsidR="00654AFD">
        <w:t xml:space="preserve">and DO </w:t>
      </w:r>
      <w:r w:rsidR="00B569E2">
        <w:t>product types</w:t>
      </w:r>
      <w:r>
        <w:t xml:space="preserve">. </w:t>
      </w:r>
      <w:r w:rsidR="00AB534E">
        <w:t>Events were called for a</w:t>
      </w:r>
      <w:r w:rsidR="0090786A">
        <w:t>s short as one hour</w:t>
      </w:r>
      <w:r w:rsidR="00A75B00">
        <w:t>,</w:t>
      </w:r>
      <w:r w:rsidR="0090786A">
        <w:t xml:space="preserve"> and as long as six hours in length</w:t>
      </w:r>
      <w:r w:rsidR="00AB534E">
        <w:t xml:space="preserve">. </w:t>
      </w:r>
      <w:r w:rsidR="00605213">
        <w:t xml:space="preserve">Shaded areas indicate typical events, which have common event windows of HE 16 – 19. </w:t>
      </w:r>
    </w:p>
    <w:p w:rsidR="00E46171" w:rsidRPr="00E46171" w:rsidRDefault="00E46171" w:rsidP="00E46171"/>
    <w:p w:rsidR="00E46171" w:rsidRPr="00401B10" w:rsidRDefault="00E46171" w:rsidP="006D3E25">
      <w:pPr>
        <w:pStyle w:val="TableCaption"/>
        <w:keepLines/>
        <w:rPr>
          <w:szCs w:val="22"/>
        </w:rPr>
      </w:pPr>
      <w:bookmarkStart w:id="71" w:name="_Toc414545891"/>
      <w:r w:rsidRPr="00401B10">
        <w:rPr>
          <w:szCs w:val="22"/>
        </w:rPr>
        <w:lastRenderedPageBreak/>
        <w:t xml:space="preserve">Table </w:t>
      </w:r>
      <w:r w:rsidRPr="00401B10">
        <w:rPr>
          <w:szCs w:val="22"/>
        </w:rPr>
        <w:fldChar w:fldCharType="begin"/>
      </w:r>
      <w:r w:rsidRPr="00401B10">
        <w:rPr>
          <w:szCs w:val="22"/>
        </w:rPr>
        <w:instrText xml:space="preserve"> STYLEREF 1 \s </w:instrText>
      </w:r>
      <w:r w:rsidRPr="00401B10">
        <w:rPr>
          <w:szCs w:val="22"/>
        </w:rPr>
        <w:fldChar w:fldCharType="separate"/>
      </w:r>
      <w:r w:rsidR="004A7BE8">
        <w:rPr>
          <w:noProof/>
          <w:szCs w:val="22"/>
        </w:rPr>
        <w:t>4</w:t>
      </w:r>
      <w:r w:rsidRPr="00401B10">
        <w:rPr>
          <w:szCs w:val="22"/>
        </w:rPr>
        <w:fldChar w:fldCharType="end"/>
      </w:r>
      <w:r w:rsidR="0088207A">
        <w:rPr>
          <w:szCs w:val="22"/>
        </w:rPr>
        <w:t>–</w:t>
      </w:r>
      <w:r w:rsidR="00791E8B">
        <w:rPr>
          <w:szCs w:val="22"/>
        </w:rPr>
        <w:t>7</w:t>
      </w:r>
      <w:r w:rsidRPr="00401B10">
        <w:rPr>
          <w:szCs w:val="22"/>
        </w:rPr>
        <w:t xml:space="preserve">: </w:t>
      </w:r>
      <w:r>
        <w:rPr>
          <w:szCs w:val="22"/>
        </w:rPr>
        <w:t xml:space="preserve">Event Summary for </w:t>
      </w:r>
      <w:r w:rsidR="007A67BB">
        <w:rPr>
          <w:szCs w:val="22"/>
        </w:rPr>
        <w:t>2014</w:t>
      </w:r>
      <w:r w:rsidR="006D3E25">
        <w:rPr>
          <w:szCs w:val="22"/>
        </w:rPr>
        <w:t xml:space="preserve"> </w:t>
      </w:r>
      <w:r w:rsidRPr="00401B10">
        <w:rPr>
          <w:szCs w:val="22"/>
        </w:rPr>
        <w:t xml:space="preserve">– </w:t>
      </w:r>
      <w:r>
        <w:rPr>
          <w:szCs w:val="22"/>
        </w:rPr>
        <w:t>SC</w:t>
      </w:r>
      <w:r w:rsidRPr="00401B10">
        <w:rPr>
          <w:szCs w:val="22"/>
        </w:rPr>
        <w:t>E CBP</w:t>
      </w:r>
      <w:bookmarkEnd w:id="71"/>
    </w:p>
    <w:p w:rsidR="00E46171" w:rsidRPr="009627F3" w:rsidRDefault="009E71B1" w:rsidP="006D3E25">
      <w:pPr>
        <w:keepNext/>
        <w:keepLines/>
        <w:jc w:val="center"/>
      </w:pPr>
      <w:r w:rsidRPr="009E71B1">
        <w:rPr>
          <w:noProof/>
        </w:rPr>
        <w:drawing>
          <wp:inline distT="0" distB="0" distL="0" distR="0" wp14:anchorId="791E587C" wp14:editId="1C3582FD">
            <wp:extent cx="4270248" cy="77724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70248" cy="7772400"/>
                    </a:xfrm>
                    <a:prstGeom prst="rect">
                      <a:avLst/>
                    </a:prstGeom>
                    <a:noFill/>
                    <a:ln>
                      <a:noFill/>
                    </a:ln>
                  </pic:spPr>
                </pic:pic>
              </a:graphicData>
            </a:graphic>
          </wp:inline>
        </w:drawing>
      </w:r>
    </w:p>
    <w:p w:rsidR="00E46171" w:rsidRDefault="00E46171" w:rsidP="00E46171"/>
    <w:p w:rsidR="007D59C2" w:rsidRPr="007D59C2" w:rsidRDefault="00E46171" w:rsidP="007D59C2">
      <w:pPr>
        <w:pStyle w:val="Heading3"/>
        <w:rPr>
          <w:sz w:val="22"/>
        </w:rPr>
      </w:pPr>
      <w:bookmarkStart w:id="72" w:name="_Toc415231759"/>
      <w:r>
        <w:rPr>
          <w:sz w:val="22"/>
        </w:rPr>
        <w:lastRenderedPageBreak/>
        <w:t>4.2.2</w:t>
      </w:r>
      <w:r w:rsidR="007D59C2" w:rsidRPr="007D59C2">
        <w:rPr>
          <w:sz w:val="22"/>
        </w:rPr>
        <w:t xml:space="preserve"> Summary load impacts</w:t>
      </w:r>
      <w:bookmarkEnd w:id="72"/>
    </w:p>
    <w:p w:rsidR="005928FF" w:rsidRDefault="00086A7F" w:rsidP="0088207A">
      <w:pPr>
        <w:spacing w:before="240" w:after="360"/>
      </w:pPr>
      <w:r>
        <w:t>T</w:t>
      </w:r>
      <w:r w:rsidR="00E46171">
        <w:t>able</w:t>
      </w:r>
      <w:r w:rsidR="005928FF" w:rsidRPr="00401B10">
        <w:t xml:space="preserve"> 4–</w:t>
      </w:r>
      <w:r w:rsidR="00791E8B">
        <w:t>8</w:t>
      </w:r>
      <w:r w:rsidR="005928FF" w:rsidRPr="00401B10">
        <w:t xml:space="preserve"> show</w:t>
      </w:r>
      <w:r w:rsidR="000C5940">
        <w:t>s</w:t>
      </w:r>
      <w:r w:rsidR="005928FF" w:rsidRPr="00401B10">
        <w:t xml:space="preserve"> </w:t>
      </w:r>
      <w:r w:rsidR="005C7A57">
        <w:t>average event-hour</w:t>
      </w:r>
      <w:r w:rsidR="005928FF" w:rsidRPr="00401B10">
        <w:t xml:space="preserve"> estimated </w:t>
      </w:r>
      <w:r w:rsidR="005928FF" w:rsidRPr="00B6618C">
        <w:t>reference load, observed load, load impacts and percentage load impacts</w:t>
      </w:r>
      <w:r w:rsidR="005928FF" w:rsidRPr="00401B10">
        <w:t xml:space="preserve"> for the DA and DO </w:t>
      </w:r>
      <w:r w:rsidR="005928FF">
        <w:t xml:space="preserve">notice and associated </w:t>
      </w:r>
      <w:r w:rsidR="005928FF" w:rsidRPr="00401B10">
        <w:t xml:space="preserve">product types, for each of </w:t>
      </w:r>
      <w:r w:rsidR="005928FF">
        <w:t>SC</w:t>
      </w:r>
      <w:r w:rsidR="005928FF" w:rsidRPr="00401B10">
        <w:t>E</w:t>
      </w:r>
      <w:r w:rsidR="002961ED">
        <w:t>’</w:t>
      </w:r>
      <w:r w:rsidR="005928FF" w:rsidRPr="00401B10">
        <w:t xml:space="preserve">s CBP events, and for averages across </w:t>
      </w:r>
      <w:r w:rsidR="000C5940">
        <w:t xml:space="preserve">typical </w:t>
      </w:r>
      <w:r w:rsidR="005928FF" w:rsidRPr="00401B10">
        <w:t>events</w:t>
      </w:r>
      <w:r w:rsidR="005928FF">
        <w:t xml:space="preserve">. </w:t>
      </w:r>
      <w:r w:rsidR="005928FF" w:rsidRPr="00401B10">
        <w:t xml:space="preserve">The </w:t>
      </w:r>
      <w:r w:rsidR="005C7A57">
        <w:t>average event-hour</w:t>
      </w:r>
      <w:r w:rsidR="005928FF" w:rsidRPr="00401B10">
        <w:t xml:space="preserve"> load impact </w:t>
      </w:r>
      <w:r w:rsidR="000C5940">
        <w:t xml:space="preserve">for the </w:t>
      </w:r>
      <w:r w:rsidR="000C5940" w:rsidRPr="00401B10">
        <w:t xml:space="preserve">DA </w:t>
      </w:r>
      <w:r w:rsidR="000C5940">
        <w:t xml:space="preserve">1-4 product </w:t>
      </w:r>
      <w:r w:rsidR="005928FF" w:rsidRPr="00401B10">
        <w:t xml:space="preserve">was </w:t>
      </w:r>
      <w:r w:rsidR="00031C3C">
        <w:t xml:space="preserve">9.7 </w:t>
      </w:r>
      <w:r w:rsidR="005928FF" w:rsidRPr="00401B10">
        <w:t>MW</w:t>
      </w:r>
      <w:r>
        <w:t>.</w:t>
      </w:r>
      <w:r w:rsidR="005928FF" w:rsidRPr="00401B10">
        <w:t xml:space="preserve"> D</w:t>
      </w:r>
      <w:r>
        <w:t>ay-of</w:t>
      </w:r>
      <w:r w:rsidR="005928FF" w:rsidRPr="00401B10">
        <w:t xml:space="preserve"> load impact</w:t>
      </w:r>
      <w:r w:rsidR="005928FF">
        <w:t>s</w:t>
      </w:r>
      <w:r w:rsidR="005928FF" w:rsidRPr="00401B10">
        <w:t xml:space="preserve"> averaged </w:t>
      </w:r>
      <w:r w:rsidR="00A75B00">
        <w:t>4</w:t>
      </w:r>
      <w:r w:rsidR="00031C3C">
        <w:t>3</w:t>
      </w:r>
      <w:r w:rsidR="005928FF" w:rsidRPr="00401B10">
        <w:t xml:space="preserve"> MW</w:t>
      </w:r>
      <w:r w:rsidR="005928FF">
        <w:t xml:space="preserve"> for the 1-4 Hour product</w:t>
      </w:r>
      <w:r w:rsidR="00A75B00">
        <w:t xml:space="preserve"> from July onward (including the customers transferred from AMP)</w:t>
      </w:r>
      <w:r w:rsidR="005928FF">
        <w:t xml:space="preserve">, and </w:t>
      </w:r>
      <w:r>
        <w:t>9</w:t>
      </w:r>
      <w:r w:rsidR="0098333D">
        <w:t>.</w:t>
      </w:r>
      <w:r w:rsidR="000C5940">
        <w:t>7</w:t>
      </w:r>
      <w:r w:rsidR="005928FF">
        <w:t xml:space="preserve"> MW for the 2-6 Hour product</w:t>
      </w:r>
      <w:r w:rsidR="005928FF" w:rsidRPr="00401B10">
        <w:t xml:space="preserve">. </w:t>
      </w:r>
      <w:r w:rsidR="005928FF">
        <w:t xml:space="preserve">Average percentage load impacts </w:t>
      </w:r>
      <w:r w:rsidR="000C5940">
        <w:t xml:space="preserve">ranged from 10 to </w:t>
      </w:r>
      <w:r w:rsidR="00A75B00">
        <w:t>20</w:t>
      </w:r>
      <w:r w:rsidR="005928FF">
        <w:t xml:space="preserve"> percent.</w:t>
      </w:r>
      <w:r w:rsidR="005928FF" w:rsidRPr="00401B10">
        <w:t xml:space="preserve"> </w:t>
      </w:r>
    </w:p>
    <w:p w:rsidR="005928FF" w:rsidRPr="00401B10" w:rsidRDefault="005928FF" w:rsidP="00AC4D31">
      <w:pPr>
        <w:pStyle w:val="TableCaption"/>
      </w:pPr>
      <w:bookmarkStart w:id="73" w:name="_Toc414545892"/>
      <w:r w:rsidRPr="00401B10">
        <w:lastRenderedPageBreak/>
        <w:t xml:space="preserve">Table </w:t>
      </w:r>
      <w:fldSimple w:instr=" STYLEREF 1 \s ">
        <w:r w:rsidR="004A7BE8">
          <w:rPr>
            <w:noProof/>
          </w:rPr>
          <w:t>4</w:t>
        </w:r>
      </w:fldSimple>
      <w:r w:rsidR="0088207A">
        <w:t>–</w:t>
      </w:r>
      <w:r w:rsidR="00791E8B">
        <w:t>8</w:t>
      </w:r>
      <w:r w:rsidRPr="00401B10">
        <w:t xml:space="preserve">: </w:t>
      </w:r>
      <w:r w:rsidR="005C7A57">
        <w:t xml:space="preserve">Average </w:t>
      </w:r>
      <w:r w:rsidR="005C7A57" w:rsidRPr="005C7A57">
        <w:t>Event-Hour</w:t>
      </w:r>
      <w:r w:rsidRPr="00401B10">
        <w:t xml:space="preserve"> Load Impacts by Event</w:t>
      </w:r>
      <w:r w:rsidR="00794173">
        <w:t xml:space="preserve"> </w:t>
      </w:r>
      <w:r w:rsidRPr="00401B10">
        <w:t xml:space="preserve">– </w:t>
      </w:r>
      <w:r>
        <w:rPr>
          <w:i/>
        </w:rPr>
        <w:t>SC</w:t>
      </w:r>
      <w:r w:rsidRPr="00401B10">
        <w:rPr>
          <w:i/>
        </w:rPr>
        <w:t>E CBP</w:t>
      </w:r>
      <w:bookmarkEnd w:id="73"/>
    </w:p>
    <w:p w:rsidR="00794173" w:rsidRDefault="0084239A" w:rsidP="008F7997">
      <w:pPr>
        <w:jc w:val="center"/>
      </w:pPr>
      <w:r w:rsidRPr="0084239A">
        <w:rPr>
          <w:noProof/>
        </w:rPr>
        <w:drawing>
          <wp:inline distT="0" distB="0" distL="0" distR="0" wp14:anchorId="4BEED3CA" wp14:editId="243FC8D9">
            <wp:extent cx="5166360" cy="7854696"/>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66360" cy="7854696"/>
                    </a:xfrm>
                    <a:prstGeom prst="rect">
                      <a:avLst/>
                    </a:prstGeom>
                    <a:noFill/>
                    <a:ln>
                      <a:noFill/>
                    </a:ln>
                  </pic:spPr>
                </pic:pic>
              </a:graphicData>
            </a:graphic>
          </wp:inline>
        </w:drawing>
      </w:r>
    </w:p>
    <w:p w:rsidR="007E2E42" w:rsidRDefault="007E2E42" w:rsidP="007E2E42">
      <w:r w:rsidRPr="00401B10">
        <w:lastRenderedPageBreak/>
        <w:t>Ta</w:t>
      </w:r>
      <w:r>
        <w:t>ble 4</w:t>
      </w:r>
      <w:r w:rsidR="00AC4D31">
        <w:t>–</w:t>
      </w:r>
      <w:r w:rsidR="00791E8B">
        <w:t>9</w:t>
      </w:r>
      <w:r>
        <w:t xml:space="preserve"> shows the distribution of </w:t>
      </w:r>
      <w:r w:rsidR="005C7A57">
        <w:t>average event-hour</w:t>
      </w:r>
      <w:r>
        <w:t xml:space="preserve"> load impacts for the </w:t>
      </w:r>
      <w:r w:rsidR="0098333D">
        <w:t>typical</w:t>
      </w:r>
      <w:r>
        <w:t xml:space="preserve"> event</w:t>
      </w:r>
      <w:r w:rsidR="0098333D">
        <w:t>,</w:t>
      </w:r>
      <w:r>
        <w:t xml:space="preserve"> by industry type.</w:t>
      </w:r>
      <w:r w:rsidR="0098333D">
        <w:t xml:space="preserve"> </w:t>
      </w:r>
      <w:r w:rsidR="000643DE">
        <w:t xml:space="preserve">Approximately half of both </w:t>
      </w:r>
      <w:r w:rsidR="00A358C9">
        <w:t xml:space="preserve">DA </w:t>
      </w:r>
      <w:r w:rsidR="000643DE">
        <w:t xml:space="preserve">and DO </w:t>
      </w:r>
      <w:r w:rsidR="00A358C9">
        <w:t xml:space="preserve">load impacts came from </w:t>
      </w:r>
      <w:r w:rsidR="000643DE">
        <w:t>Retail stores</w:t>
      </w:r>
      <w:r w:rsidR="00A358C9">
        <w:t xml:space="preserve">. </w:t>
      </w:r>
    </w:p>
    <w:p w:rsidR="007E2E42" w:rsidRDefault="007E2E42" w:rsidP="00F22D50"/>
    <w:p w:rsidR="00E46171" w:rsidRPr="00401B10" w:rsidRDefault="00E46171" w:rsidP="00AC4D31">
      <w:pPr>
        <w:pStyle w:val="TableCaption"/>
      </w:pPr>
      <w:bookmarkStart w:id="74" w:name="_Toc414545893"/>
      <w:r w:rsidRPr="00401B10">
        <w:t xml:space="preserve">Table </w:t>
      </w:r>
      <w:fldSimple w:instr=" STYLEREF 1 \s ">
        <w:r w:rsidR="004A7BE8">
          <w:rPr>
            <w:noProof/>
          </w:rPr>
          <w:t>4</w:t>
        </w:r>
      </w:fldSimple>
      <w:r w:rsidR="0088207A">
        <w:t>–</w:t>
      </w:r>
      <w:r w:rsidR="00791E8B">
        <w:t>9</w:t>
      </w:r>
      <w:r w:rsidRPr="00401B10">
        <w:t xml:space="preserve">: </w:t>
      </w:r>
      <w:r>
        <w:t xml:space="preserve">Distribution of </w:t>
      </w:r>
      <w:r w:rsidR="005C7A57">
        <w:t xml:space="preserve">Average </w:t>
      </w:r>
      <w:r w:rsidR="005C7A57" w:rsidRPr="005C7A57">
        <w:t>Event-Hour</w:t>
      </w:r>
      <w:r w:rsidRPr="00401B10">
        <w:t xml:space="preserve"> Load Impacts by </w:t>
      </w:r>
      <w:r>
        <w:t>Industry Type</w:t>
      </w:r>
      <w:r w:rsidRPr="00401B10">
        <w:t xml:space="preserve"> – </w:t>
      </w:r>
      <w:r w:rsidR="007F48DC">
        <w:t>SC</w:t>
      </w:r>
      <w:r w:rsidRPr="00401B10">
        <w:rPr>
          <w:i/>
        </w:rPr>
        <w:t>E CBP</w:t>
      </w:r>
      <w:bookmarkEnd w:id="74"/>
    </w:p>
    <w:p w:rsidR="00E46171" w:rsidRPr="00233068" w:rsidRDefault="0084239A" w:rsidP="00E46171">
      <w:r w:rsidRPr="0084239A">
        <w:rPr>
          <w:noProof/>
        </w:rPr>
        <w:drawing>
          <wp:inline distT="0" distB="0" distL="0" distR="0" wp14:anchorId="3E08E5DA" wp14:editId="7666BECC">
            <wp:extent cx="5486400" cy="3227294"/>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86400" cy="3227294"/>
                    </a:xfrm>
                    <a:prstGeom prst="rect">
                      <a:avLst/>
                    </a:prstGeom>
                    <a:noFill/>
                    <a:ln>
                      <a:noFill/>
                    </a:ln>
                  </pic:spPr>
                </pic:pic>
              </a:graphicData>
            </a:graphic>
          </wp:inline>
        </w:drawing>
      </w:r>
    </w:p>
    <w:p w:rsidR="00E46171" w:rsidRDefault="00E46171" w:rsidP="00E46171"/>
    <w:p w:rsidR="00E46171" w:rsidRDefault="00E46171" w:rsidP="00E46171">
      <w:r>
        <w:t>Table 4</w:t>
      </w:r>
      <w:r w:rsidR="00AC4D31">
        <w:t>–</w:t>
      </w:r>
      <w:r w:rsidR="00791E8B">
        <w:t>10</w:t>
      </w:r>
      <w:r>
        <w:t xml:space="preserve"> shows the distribution of </w:t>
      </w:r>
      <w:r w:rsidR="005C7A57">
        <w:t>average event-hour</w:t>
      </w:r>
      <w:r>
        <w:t xml:space="preserve"> load impacts by LCA.</w:t>
      </w:r>
      <w:r w:rsidR="0098333D">
        <w:t xml:space="preserve"> Most of the load impacts for both notice types occurred in the LA Basin.</w:t>
      </w:r>
    </w:p>
    <w:p w:rsidR="00E46171" w:rsidRDefault="00E46171" w:rsidP="00E46171"/>
    <w:p w:rsidR="00E46171" w:rsidRPr="00401B10" w:rsidRDefault="00E46171" w:rsidP="00AC4D31">
      <w:pPr>
        <w:pStyle w:val="TableCaption"/>
      </w:pPr>
      <w:bookmarkStart w:id="75" w:name="_Toc414545894"/>
      <w:r w:rsidRPr="00401B10">
        <w:t xml:space="preserve">Table </w:t>
      </w:r>
      <w:fldSimple w:instr=" STYLEREF 1 \s ">
        <w:r w:rsidR="004A7BE8">
          <w:rPr>
            <w:noProof/>
          </w:rPr>
          <w:t>4</w:t>
        </w:r>
      </w:fldSimple>
      <w:r w:rsidR="0088207A">
        <w:t>–</w:t>
      </w:r>
      <w:r w:rsidR="00791E8B">
        <w:t>10</w:t>
      </w:r>
      <w:r w:rsidRPr="00401B10">
        <w:t xml:space="preserve">: </w:t>
      </w:r>
      <w:r>
        <w:t xml:space="preserve">Distribution of </w:t>
      </w:r>
      <w:r w:rsidR="005C7A57">
        <w:t>Average Event-Hour</w:t>
      </w:r>
      <w:r w:rsidRPr="00401B10">
        <w:t xml:space="preserve"> Load Impacts by </w:t>
      </w:r>
      <w:r>
        <w:t>LCA</w:t>
      </w:r>
      <w:r w:rsidRPr="00401B10">
        <w:t xml:space="preserve"> – </w:t>
      </w:r>
      <w:r w:rsidR="007F48DC">
        <w:rPr>
          <w:i/>
        </w:rPr>
        <w:t>SC</w:t>
      </w:r>
      <w:r w:rsidRPr="00401B10">
        <w:rPr>
          <w:i/>
        </w:rPr>
        <w:t>E CBP</w:t>
      </w:r>
      <w:bookmarkEnd w:id="75"/>
    </w:p>
    <w:p w:rsidR="00E46171" w:rsidRPr="009627F3" w:rsidRDefault="00031C3C" w:rsidP="00E46171">
      <w:r w:rsidRPr="00031C3C">
        <w:rPr>
          <w:noProof/>
        </w:rPr>
        <w:drawing>
          <wp:inline distT="0" distB="0" distL="0" distR="0" wp14:anchorId="5EB299CF" wp14:editId="04C3843A">
            <wp:extent cx="5486400" cy="1956214"/>
            <wp:effectExtent l="0" t="0" r="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86400" cy="1956214"/>
                    </a:xfrm>
                    <a:prstGeom prst="rect">
                      <a:avLst/>
                    </a:prstGeom>
                    <a:noFill/>
                    <a:ln>
                      <a:noFill/>
                    </a:ln>
                  </pic:spPr>
                </pic:pic>
              </a:graphicData>
            </a:graphic>
          </wp:inline>
        </w:drawing>
      </w:r>
    </w:p>
    <w:p w:rsidR="00E46171" w:rsidRDefault="00E46171" w:rsidP="00F22D50"/>
    <w:p w:rsidR="00877F4B" w:rsidRDefault="00877F4B" w:rsidP="00F22D50"/>
    <w:p w:rsidR="00877F4B" w:rsidRDefault="00877F4B" w:rsidP="00F22D50">
      <w:r>
        <w:t>Tables 4–11 and 4–12 show average event-hour load impacts for two additional geographical areas in the SCE service area – Southern Orange County and South of Lugo.</w:t>
      </w:r>
    </w:p>
    <w:p w:rsidR="00877F4B" w:rsidRPr="00401B10" w:rsidRDefault="00877F4B" w:rsidP="00877F4B">
      <w:pPr>
        <w:pStyle w:val="TableCaption"/>
      </w:pPr>
      <w:bookmarkStart w:id="76" w:name="_Toc414545895"/>
      <w:r w:rsidRPr="00401B10">
        <w:lastRenderedPageBreak/>
        <w:t xml:space="preserve">Table </w:t>
      </w:r>
      <w:fldSimple w:instr=" STYLEREF 1 \s ">
        <w:r w:rsidR="004A7BE8">
          <w:rPr>
            <w:noProof/>
          </w:rPr>
          <w:t>4</w:t>
        </w:r>
      </w:fldSimple>
      <w:r>
        <w:t>–11</w:t>
      </w:r>
      <w:r w:rsidRPr="00401B10">
        <w:t xml:space="preserve">: </w:t>
      </w:r>
      <w:r>
        <w:t>Average Event-Hour</w:t>
      </w:r>
      <w:r w:rsidRPr="00401B10">
        <w:t xml:space="preserve"> Load Impacts </w:t>
      </w:r>
      <w:r>
        <w:t xml:space="preserve">in </w:t>
      </w:r>
      <w:r w:rsidRPr="00877F4B">
        <w:rPr>
          <w:i/>
        </w:rPr>
        <w:t>Southern Orange County</w:t>
      </w:r>
      <w:r w:rsidRPr="00401B10">
        <w:t xml:space="preserve"> – </w:t>
      </w:r>
      <w:r>
        <w:rPr>
          <w:i/>
        </w:rPr>
        <w:t>SC</w:t>
      </w:r>
      <w:r w:rsidRPr="00401B10">
        <w:rPr>
          <w:i/>
        </w:rPr>
        <w:t>E CBP</w:t>
      </w:r>
      <w:bookmarkEnd w:id="76"/>
    </w:p>
    <w:p w:rsidR="00877F4B" w:rsidRDefault="0084239A" w:rsidP="00F22D50">
      <w:r w:rsidRPr="0084239A">
        <w:rPr>
          <w:noProof/>
        </w:rPr>
        <w:drawing>
          <wp:inline distT="0" distB="0" distL="0" distR="0" wp14:anchorId="5BB4595E" wp14:editId="30D5631C">
            <wp:extent cx="5486400" cy="7607902"/>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86400" cy="7607902"/>
                    </a:xfrm>
                    <a:prstGeom prst="rect">
                      <a:avLst/>
                    </a:prstGeom>
                    <a:noFill/>
                    <a:ln>
                      <a:noFill/>
                    </a:ln>
                  </pic:spPr>
                </pic:pic>
              </a:graphicData>
            </a:graphic>
          </wp:inline>
        </w:drawing>
      </w:r>
    </w:p>
    <w:p w:rsidR="00877F4B" w:rsidRDefault="00877F4B" w:rsidP="00F22D50"/>
    <w:p w:rsidR="00877F4B" w:rsidRDefault="00877F4B" w:rsidP="00F22D50"/>
    <w:p w:rsidR="00877F4B" w:rsidRDefault="00877F4B" w:rsidP="00877F4B">
      <w:pPr>
        <w:pStyle w:val="TableCaption"/>
      </w:pPr>
      <w:bookmarkStart w:id="77" w:name="_Toc414545896"/>
      <w:r w:rsidRPr="00401B10">
        <w:lastRenderedPageBreak/>
        <w:t xml:space="preserve">Table </w:t>
      </w:r>
      <w:fldSimple w:instr=" STYLEREF 1 \s ">
        <w:r w:rsidR="004A7BE8">
          <w:rPr>
            <w:noProof/>
          </w:rPr>
          <w:t>4</w:t>
        </w:r>
      </w:fldSimple>
      <w:r>
        <w:t>–12</w:t>
      </w:r>
      <w:r w:rsidRPr="00401B10">
        <w:t xml:space="preserve">: </w:t>
      </w:r>
      <w:r>
        <w:t>Average Event-Hour</w:t>
      </w:r>
      <w:r w:rsidRPr="00401B10">
        <w:t xml:space="preserve"> Load Impacts </w:t>
      </w:r>
      <w:r w:rsidRPr="00877F4B">
        <w:rPr>
          <w:i/>
        </w:rPr>
        <w:t>South</w:t>
      </w:r>
      <w:r>
        <w:rPr>
          <w:i/>
        </w:rPr>
        <w:t xml:space="preserve"> of Lugo</w:t>
      </w:r>
      <w:r w:rsidRPr="00401B10">
        <w:t xml:space="preserve"> – </w:t>
      </w:r>
      <w:r>
        <w:rPr>
          <w:i/>
        </w:rPr>
        <w:t>SC</w:t>
      </w:r>
      <w:r w:rsidRPr="00401B10">
        <w:rPr>
          <w:i/>
        </w:rPr>
        <w:t>E CBP</w:t>
      </w:r>
      <w:bookmarkEnd w:id="77"/>
    </w:p>
    <w:p w:rsidR="00877F4B" w:rsidRDefault="002B53B3" w:rsidP="00F22D50">
      <w:r w:rsidRPr="002B53B3">
        <w:rPr>
          <w:noProof/>
        </w:rPr>
        <w:drawing>
          <wp:inline distT="0" distB="0" distL="0" distR="0" wp14:anchorId="0547FB99" wp14:editId="358BC891">
            <wp:extent cx="5486400" cy="7609431"/>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6400" cy="7609431"/>
                    </a:xfrm>
                    <a:prstGeom prst="rect">
                      <a:avLst/>
                    </a:prstGeom>
                    <a:noFill/>
                    <a:ln>
                      <a:noFill/>
                    </a:ln>
                  </pic:spPr>
                </pic:pic>
              </a:graphicData>
            </a:graphic>
          </wp:inline>
        </w:drawing>
      </w:r>
    </w:p>
    <w:p w:rsidR="00877F4B" w:rsidRDefault="00877F4B" w:rsidP="00F22D50"/>
    <w:p w:rsidR="009C0310" w:rsidRPr="007D59C2" w:rsidRDefault="009C0310" w:rsidP="009C0310">
      <w:pPr>
        <w:pStyle w:val="Heading3"/>
        <w:rPr>
          <w:sz w:val="22"/>
          <w:szCs w:val="22"/>
        </w:rPr>
      </w:pPr>
      <w:bookmarkStart w:id="78" w:name="_Toc415231760"/>
      <w:r w:rsidRPr="007D59C2">
        <w:rPr>
          <w:sz w:val="22"/>
          <w:szCs w:val="22"/>
        </w:rPr>
        <w:lastRenderedPageBreak/>
        <w:t>4.</w:t>
      </w:r>
      <w:r>
        <w:rPr>
          <w:sz w:val="22"/>
          <w:szCs w:val="22"/>
        </w:rPr>
        <w:t>2</w:t>
      </w:r>
      <w:r w:rsidRPr="007D59C2">
        <w:rPr>
          <w:sz w:val="22"/>
          <w:szCs w:val="22"/>
        </w:rPr>
        <w:t>.</w:t>
      </w:r>
      <w:r>
        <w:rPr>
          <w:sz w:val="22"/>
          <w:szCs w:val="22"/>
        </w:rPr>
        <w:t>3</w:t>
      </w:r>
      <w:r w:rsidRPr="007D59C2">
        <w:rPr>
          <w:sz w:val="22"/>
          <w:szCs w:val="22"/>
        </w:rPr>
        <w:t xml:space="preserve"> </w:t>
      </w:r>
      <w:r>
        <w:rPr>
          <w:sz w:val="22"/>
          <w:szCs w:val="22"/>
        </w:rPr>
        <w:t>Hourl</w:t>
      </w:r>
      <w:r w:rsidRPr="007D59C2">
        <w:rPr>
          <w:sz w:val="22"/>
          <w:szCs w:val="22"/>
        </w:rPr>
        <w:t>y load impacts</w:t>
      </w:r>
      <w:bookmarkEnd w:id="78"/>
    </w:p>
    <w:p w:rsidR="00211752" w:rsidRDefault="00211752" w:rsidP="00211752">
      <w:r w:rsidRPr="00211752">
        <w:t>Figure</w:t>
      </w:r>
      <w:r>
        <w:t xml:space="preserve"> 4</w:t>
      </w:r>
      <w:r w:rsidR="00AC4D31">
        <w:t>–</w:t>
      </w:r>
      <w:r>
        <w:t>3 illustrates the hourly profiles of the estimated reference load, observed load</w:t>
      </w:r>
      <w:r w:rsidR="00D7314E">
        <w:t>,</w:t>
      </w:r>
      <w:r>
        <w:t xml:space="preserve"> and estimated load impacts (in MW) of the </w:t>
      </w:r>
      <w:r w:rsidR="00A73D67">
        <w:t>SC</w:t>
      </w:r>
      <w:r>
        <w:t xml:space="preserve">E CBP </w:t>
      </w:r>
      <w:r w:rsidR="00A73D67">
        <w:t xml:space="preserve">DO </w:t>
      </w:r>
      <w:r w:rsidR="00840721">
        <w:t>1</w:t>
      </w:r>
      <w:r w:rsidR="00A73D67">
        <w:t>-</w:t>
      </w:r>
      <w:r w:rsidR="00840721">
        <w:t>4</w:t>
      </w:r>
      <w:r w:rsidR="00A73D67">
        <w:t xml:space="preserve"> product type</w:t>
      </w:r>
      <w:r>
        <w:t xml:space="preserve"> for the </w:t>
      </w:r>
      <w:r w:rsidR="00A358C9">
        <w:t>f</w:t>
      </w:r>
      <w:r w:rsidR="00840721">
        <w:t>our</w:t>
      </w:r>
      <w:r w:rsidR="00B85104">
        <w:t xml:space="preserve">-hour </w:t>
      </w:r>
      <w:r w:rsidR="00840721">
        <w:t xml:space="preserve">July 30 </w:t>
      </w:r>
      <w:r>
        <w:t>event</w:t>
      </w:r>
      <w:r w:rsidR="00B85104">
        <w:t>, which was called from hours-ending 1</w:t>
      </w:r>
      <w:r w:rsidR="00840721">
        <w:t>6</w:t>
      </w:r>
      <w:r w:rsidR="00B85104">
        <w:t xml:space="preserve"> to 19</w:t>
      </w:r>
      <w:r>
        <w:t>.</w:t>
      </w:r>
      <w:r w:rsidR="00A358C9">
        <w:t xml:space="preserve"> Estimated load impacts </w:t>
      </w:r>
      <w:r w:rsidR="00840721">
        <w:t>range from 4</w:t>
      </w:r>
      <w:r w:rsidR="00A358C9">
        <w:t>0</w:t>
      </w:r>
      <w:r w:rsidR="00840721">
        <w:t xml:space="preserve"> to 50</w:t>
      </w:r>
      <w:r w:rsidR="00A358C9">
        <w:t xml:space="preserve"> MW </w:t>
      </w:r>
      <w:r w:rsidR="00840721">
        <w:t xml:space="preserve">over the </w:t>
      </w:r>
      <w:r w:rsidR="00A358C9">
        <w:t>event.</w:t>
      </w:r>
    </w:p>
    <w:p w:rsidR="009C0310" w:rsidRDefault="009C0310" w:rsidP="009C0310"/>
    <w:p w:rsidR="00F65002" w:rsidRPr="00F65002" w:rsidRDefault="00F65002" w:rsidP="00AC4D31">
      <w:pPr>
        <w:pStyle w:val="FigureCaption"/>
      </w:pPr>
      <w:bookmarkStart w:id="79" w:name="_Toc412549192"/>
      <w:r w:rsidRPr="00F65002">
        <w:t xml:space="preserve">Figure </w:t>
      </w:r>
      <w:fldSimple w:instr=" STYLEREF 1 \s ">
        <w:r w:rsidR="004A7BE8">
          <w:rPr>
            <w:noProof/>
          </w:rPr>
          <w:t>4</w:t>
        </w:r>
      </w:fldSimple>
      <w:r w:rsidR="0088207A">
        <w:t>–</w:t>
      </w:r>
      <w:r w:rsidR="00C71901">
        <w:t>3</w:t>
      </w:r>
      <w:r w:rsidRPr="00F65002">
        <w:t xml:space="preserve">: Hourly Loads and Load Impacts – SCE CBP DO </w:t>
      </w:r>
      <w:r w:rsidR="00840721">
        <w:t>1</w:t>
      </w:r>
      <w:r w:rsidRPr="00F65002">
        <w:t>-</w:t>
      </w:r>
      <w:r w:rsidR="00840721">
        <w:t>4</w:t>
      </w:r>
      <w:r w:rsidRPr="00F65002">
        <w:t xml:space="preserve"> </w:t>
      </w:r>
      <w:r w:rsidR="00F361E7">
        <w:br/>
      </w:r>
      <w:r w:rsidR="00840721">
        <w:rPr>
          <w:i/>
        </w:rPr>
        <w:t>July 30, 2014</w:t>
      </w:r>
      <w:r w:rsidRPr="00F361E7">
        <w:rPr>
          <w:i/>
        </w:rPr>
        <w:t xml:space="preserve"> Event</w:t>
      </w:r>
      <w:bookmarkEnd w:id="79"/>
    </w:p>
    <w:p w:rsidR="00F93512" w:rsidRDefault="00E87A66" w:rsidP="00251C77">
      <w:pPr>
        <w:jc w:val="center"/>
      </w:pPr>
      <w:r w:rsidRPr="00E87A66">
        <w:rPr>
          <w:noProof/>
        </w:rPr>
        <w:drawing>
          <wp:inline distT="0" distB="0" distL="0" distR="0" wp14:anchorId="4E9A2E0E" wp14:editId="0BE59E97">
            <wp:extent cx="5486400" cy="372597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486400" cy="3725975"/>
                    </a:xfrm>
                    <a:prstGeom prst="rect">
                      <a:avLst/>
                    </a:prstGeom>
                    <a:noFill/>
                    <a:ln>
                      <a:noFill/>
                    </a:ln>
                  </pic:spPr>
                </pic:pic>
              </a:graphicData>
            </a:graphic>
          </wp:inline>
        </w:drawing>
      </w:r>
    </w:p>
    <w:p w:rsidR="00EC1575" w:rsidRDefault="00EC1575" w:rsidP="00251C77">
      <w:pPr>
        <w:jc w:val="center"/>
      </w:pPr>
    </w:p>
    <w:p w:rsidR="00791E8B" w:rsidRDefault="00791E8B" w:rsidP="00791E8B">
      <w:pPr>
        <w:pStyle w:val="Heading3"/>
        <w:rPr>
          <w:sz w:val="22"/>
          <w:szCs w:val="22"/>
        </w:rPr>
      </w:pPr>
      <w:bookmarkStart w:id="80" w:name="_Toc415231761"/>
      <w:r w:rsidRPr="00EE4B71">
        <w:rPr>
          <w:sz w:val="22"/>
          <w:szCs w:val="22"/>
        </w:rPr>
        <w:t>4.2.4 Load impacts of TA/TI and AutoDR participants</w:t>
      </w:r>
      <w:bookmarkEnd w:id="80"/>
    </w:p>
    <w:p w:rsidR="00791E8B" w:rsidRDefault="00791E8B" w:rsidP="00791E8B">
      <w:r>
        <w:t>Table 4</w:t>
      </w:r>
      <w:r w:rsidR="00D7314E">
        <w:t>–</w:t>
      </w:r>
      <w:r>
        <w:softHyphen/>
        <w:t>1</w:t>
      </w:r>
      <w:r w:rsidR="00E10867">
        <w:t>3</w:t>
      </w:r>
      <w:r>
        <w:t xml:space="preserve"> shows </w:t>
      </w:r>
      <w:r w:rsidR="005C7A57">
        <w:t>average event-hour</w:t>
      </w:r>
      <w:r>
        <w:t xml:space="preserve"> load impacts </w:t>
      </w:r>
      <w:r w:rsidR="00EE4B71">
        <w:t xml:space="preserve">by event </w:t>
      </w:r>
      <w:r>
        <w:t xml:space="preserve">for </w:t>
      </w:r>
      <w:r w:rsidR="00EE4B71">
        <w:t xml:space="preserve">CBP </w:t>
      </w:r>
      <w:r w:rsidR="00595F10">
        <w:t>service accounts</w:t>
      </w:r>
      <w:r>
        <w:t xml:space="preserve"> </w:t>
      </w:r>
      <w:r w:rsidR="006B7C16">
        <w:t>that received TA/TI incentives at some point prior to the DR event(s) summarized</w:t>
      </w:r>
      <w:r>
        <w:t xml:space="preserve">. Their </w:t>
      </w:r>
      <w:r w:rsidR="003B04C1">
        <w:t xml:space="preserve">load impacts averaged </w:t>
      </w:r>
      <w:r w:rsidR="00DA7167">
        <w:t>5</w:t>
      </w:r>
      <w:r w:rsidR="00EE4B71">
        <w:t>.</w:t>
      </w:r>
      <w:r w:rsidR="00DA7167">
        <w:t>1</w:t>
      </w:r>
      <w:r w:rsidR="003B04C1">
        <w:t xml:space="preserve"> MW, </w:t>
      </w:r>
      <w:r w:rsidR="00EE4B71">
        <w:t xml:space="preserve">which </w:t>
      </w:r>
      <w:r w:rsidR="003B04C1">
        <w:t xml:space="preserve">compares to their approved load </w:t>
      </w:r>
      <w:r w:rsidR="00EE4B71">
        <w:t xml:space="preserve">shed test </w:t>
      </w:r>
      <w:r w:rsidR="003B04C1">
        <w:t xml:space="preserve">of </w:t>
      </w:r>
      <w:r w:rsidR="00DA7167">
        <w:t>1</w:t>
      </w:r>
      <w:r w:rsidR="00EE4B71">
        <w:t>1</w:t>
      </w:r>
      <w:r w:rsidR="003B04C1">
        <w:t>.</w:t>
      </w:r>
      <w:r w:rsidR="00DA7167">
        <w:t>1</w:t>
      </w:r>
      <w:r w:rsidR="003B04C1">
        <w:t xml:space="preserve"> MW.</w:t>
      </w:r>
    </w:p>
    <w:p w:rsidR="003B04C1" w:rsidRDefault="003B04C1" w:rsidP="00791E8B"/>
    <w:p w:rsidR="00791E8B" w:rsidRPr="00401B10" w:rsidRDefault="00791E8B" w:rsidP="00791E8B">
      <w:pPr>
        <w:pStyle w:val="TableCaption"/>
      </w:pPr>
      <w:bookmarkStart w:id="81" w:name="_Toc414545897"/>
      <w:r w:rsidRPr="00401B10">
        <w:lastRenderedPageBreak/>
        <w:t xml:space="preserve">Table </w:t>
      </w:r>
      <w:fldSimple w:instr=" STYLEREF 1 \s ">
        <w:r w:rsidR="004A7BE8">
          <w:rPr>
            <w:noProof/>
          </w:rPr>
          <w:t>4</w:t>
        </w:r>
      </w:fldSimple>
      <w:r>
        <w:t>–1</w:t>
      </w:r>
      <w:r w:rsidR="00E10867">
        <w:t>3</w:t>
      </w:r>
      <w:r w:rsidRPr="00401B10">
        <w:t xml:space="preserve">: Load Impacts </w:t>
      </w:r>
      <w:r>
        <w:t>of TA/TI Participants</w:t>
      </w:r>
      <w:r w:rsidRPr="00401B10">
        <w:t xml:space="preserve"> – </w:t>
      </w:r>
      <w:r>
        <w:rPr>
          <w:i/>
        </w:rPr>
        <w:t>SC</w:t>
      </w:r>
      <w:r w:rsidRPr="00401B10">
        <w:rPr>
          <w:i/>
        </w:rPr>
        <w:t>E CBP</w:t>
      </w:r>
      <w:r w:rsidR="00DA7167">
        <w:rPr>
          <w:i/>
        </w:rPr>
        <w:t xml:space="preserve"> DO</w:t>
      </w:r>
      <w:bookmarkEnd w:id="81"/>
    </w:p>
    <w:p w:rsidR="00791E8B" w:rsidRDefault="0084239A" w:rsidP="00EE4B71">
      <w:pPr>
        <w:jc w:val="center"/>
      </w:pPr>
      <w:r w:rsidRPr="0084239A">
        <w:rPr>
          <w:noProof/>
        </w:rPr>
        <w:drawing>
          <wp:inline distT="0" distB="0" distL="0" distR="0" wp14:anchorId="0301AF9F" wp14:editId="72BB130B">
            <wp:extent cx="4434840" cy="3695700"/>
            <wp:effectExtent l="0" t="0" r="381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34840" cy="3695700"/>
                    </a:xfrm>
                    <a:prstGeom prst="rect">
                      <a:avLst/>
                    </a:prstGeom>
                    <a:noFill/>
                    <a:ln>
                      <a:noFill/>
                    </a:ln>
                  </pic:spPr>
                </pic:pic>
              </a:graphicData>
            </a:graphic>
          </wp:inline>
        </w:drawing>
      </w:r>
    </w:p>
    <w:p w:rsidR="00EE4B71" w:rsidRDefault="00EE4B71" w:rsidP="00F22D50"/>
    <w:p w:rsidR="00791E8B" w:rsidRDefault="003B04C1" w:rsidP="00F22D50">
      <w:r>
        <w:t>Table 4</w:t>
      </w:r>
      <w:r w:rsidR="00D7314E">
        <w:t>–</w:t>
      </w:r>
      <w:r>
        <w:softHyphen/>
        <w:t>1</w:t>
      </w:r>
      <w:r w:rsidR="00E10867">
        <w:t>4</w:t>
      </w:r>
      <w:r>
        <w:t xml:space="preserve"> shows</w:t>
      </w:r>
      <w:r w:rsidR="006B7C16">
        <w:t xml:space="preserve"> CBP</w:t>
      </w:r>
      <w:r>
        <w:t xml:space="preserve"> load impacts for </w:t>
      </w:r>
      <w:r w:rsidR="006B7C16">
        <w:t>service accounts</w:t>
      </w:r>
      <w:r w:rsidR="00EE4B71">
        <w:t xml:space="preserve"> </w:t>
      </w:r>
      <w:r w:rsidR="006B7C16">
        <w:t>that received AutoDR incentives at some point prior to the DR event(s) summarized</w:t>
      </w:r>
      <w:r>
        <w:t xml:space="preserve">. </w:t>
      </w:r>
      <w:r w:rsidR="00EE4B71">
        <w:t>A</w:t>
      </w:r>
      <w:r w:rsidR="00DA7167">
        <w:t>n average of 51</w:t>
      </w:r>
      <w:r>
        <w:t xml:space="preserve"> </w:t>
      </w:r>
      <w:r w:rsidR="00DA7167">
        <w:t xml:space="preserve">DA and 503 DO </w:t>
      </w:r>
      <w:r w:rsidR="00595F10">
        <w:t>service accounts</w:t>
      </w:r>
      <w:r w:rsidR="00DA7167">
        <w:t xml:space="preserve"> participated in </w:t>
      </w:r>
      <w:r>
        <w:t xml:space="preserve">AutoDR </w:t>
      </w:r>
      <w:r w:rsidR="00DA7167">
        <w:t xml:space="preserve">for the average event. DA </w:t>
      </w:r>
      <w:r>
        <w:t xml:space="preserve">participants </w:t>
      </w:r>
      <w:r w:rsidR="00EE4B71">
        <w:t>provided</w:t>
      </w:r>
      <w:r>
        <w:t xml:space="preserve"> </w:t>
      </w:r>
      <w:r w:rsidR="00DA7167">
        <w:t>an average of 1</w:t>
      </w:r>
      <w:r w:rsidR="00EE4B71">
        <w:t>.</w:t>
      </w:r>
      <w:r w:rsidR="00DA7167">
        <w:t>9</w:t>
      </w:r>
      <w:r>
        <w:t xml:space="preserve"> MW of load impacts, </w:t>
      </w:r>
      <w:r w:rsidR="00DA7167">
        <w:t xml:space="preserve">less than </w:t>
      </w:r>
      <w:r w:rsidR="00EE4B71">
        <w:t xml:space="preserve">half of their load shed test amount of </w:t>
      </w:r>
      <w:r w:rsidR="00DA7167">
        <w:t>4</w:t>
      </w:r>
      <w:r w:rsidR="00EE4B71">
        <w:t>.</w:t>
      </w:r>
      <w:r w:rsidR="00DA7167">
        <w:t>7</w:t>
      </w:r>
      <w:r w:rsidR="00EE4B71">
        <w:t xml:space="preserve"> MW</w:t>
      </w:r>
      <w:r>
        <w:t>.</w:t>
      </w:r>
      <w:r w:rsidR="00DA7167">
        <w:t xml:space="preserve"> CBP DO participants provided an average of </w:t>
      </w:r>
      <w:r w:rsidR="00D62DF4">
        <w:t>19.1 MW, compared to their shed test amount of 31.5 MW.</w:t>
      </w:r>
    </w:p>
    <w:p w:rsidR="003B04C1" w:rsidRDefault="003B04C1" w:rsidP="00F22D50"/>
    <w:p w:rsidR="00791E8B" w:rsidRPr="00401B10" w:rsidRDefault="00791E8B" w:rsidP="003B04C1">
      <w:pPr>
        <w:pStyle w:val="TableCaption"/>
        <w:keepLines/>
      </w:pPr>
      <w:bookmarkStart w:id="82" w:name="_Toc414545898"/>
      <w:r w:rsidRPr="00401B10">
        <w:lastRenderedPageBreak/>
        <w:t xml:space="preserve">Table </w:t>
      </w:r>
      <w:fldSimple w:instr=" STYLEREF 1 \s ">
        <w:r w:rsidR="004A7BE8">
          <w:rPr>
            <w:noProof/>
          </w:rPr>
          <w:t>4</w:t>
        </w:r>
      </w:fldSimple>
      <w:r>
        <w:t>–1</w:t>
      </w:r>
      <w:r w:rsidR="00E10867">
        <w:t>4</w:t>
      </w:r>
      <w:r w:rsidRPr="00401B10">
        <w:t xml:space="preserve">: Load Impacts </w:t>
      </w:r>
      <w:r>
        <w:t>of AutoDR Participants</w:t>
      </w:r>
      <w:r w:rsidRPr="00401B10">
        <w:t xml:space="preserve"> – </w:t>
      </w:r>
      <w:r>
        <w:rPr>
          <w:i/>
        </w:rPr>
        <w:t>SC</w:t>
      </w:r>
      <w:r w:rsidRPr="00401B10">
        <w:rPr>
          <w:i/>
        </w:rPr>
        <w:t>E CBP</w:t>
      </w:r>
      <w:bookmarkEnd w:id="82"/>
    </w:p>
    <w:p w:rsidR="00F93512" w:rsidRDefault="005A2908" w:rsidP="00EE4B71">
      <w:pPr>
        <w:jc w:val="center"/>
      </w:pPr>
      <w:r w:rsidRPr="005A2908">
        <w:rPr>
          <w:noProof/>
        </w:rPr>
        <w:drawing>
          <wp:inline distT="0" distB="0" distL="0" distR="0" wp14:anchorId="0DD67441" wp14:editId="77369157">
            <wp:extent cx="4945380" cy="6522720"/>
            <wp:effectExtent l="0" t="0" r="762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945380" cy="6522720"/>
                    </a:xfrm>
                    <a:prstGeom prst="rect">
                      <a:avLst/>
                    </a:prstGeom>
                    <a:noFill/>
                    <a:ln>
                      <a:noFill/>
                    </a:ln>
                  </pic:spPr>
                </pic:pic>
              </a:graphicData>
            </a:graphic>
          </wp:inline>
        </w:drawing>
      </w:r>
    </w:p>
    <w:p w:rsidR="00006061" w:rsidRPr="00B0448F" w:rsidRDefault="003B04C1" w:rsidP="00A73D67">
      <w:pPr>
        <w:pStyle w:val="Heading2"/>
        <w:keepLines/>
      </w:pPr>
      <w:r>
        <w:br w:type="page"/>
      </w:r>
      <w:bookmarkStart w:id="83" w:name="_Toc415231762"/>
      <w:r w:rsidR="00006061">
        <w:lastRenderedPageBreak/>
        <w:t>4.3 Capacity Bidding Program (</w:t>
      </w:r>
      <w:r w:rsidR="00006061" w:rsidRPr="00B0448F">
        <w:t>CBP</w:t>
      </w:r>
      <w:r w:rsidR="00006061">
        <w:t>) – SDG&amp;E</w:t>
      </w:r>
      <w:bookmarkEnd w:id="83"/>
    </w:p>
    <w:p w:rsidR="007E2E42" w:rsidRDefault="007E2E42" w:rsidP="00A73D67">
      <w:pPr>
        <w:pStyle w:val="Heading3"/>
        <w:keepLines/>
        <w:rPr>
          <w:sz w:val="22"/>
        </w:rPr>
      </w:pPr>
      <w:bookmarkStart w:id="84" w:name="_Toc415231763"/>
      <w:r w:rsidRPr="007D59C2">
        <w:rPr>
          <w:sz w:val="22"/>
        </w:rPr>
        <w:t>4.</w:t>
      </w:r>
      <w:r>
        <w:rPr>
          <w:sz w:val="22"/>
        </w:rPr>
        <w:t>3</w:t>
      </w:r>
      <w:r w:rsidRPr="007D59C2">
        <w:rPr>
          <w:sz w:val="22"/>
        </w:rPr>
        <w:t xml:space="preserve">.1 </w:t>
      </w:r>
      <w:r>
        <w:rPr>
          <w:sz w:val="22"/>
        </w:rPr>
        <w:t>Events for SDG&amp;E CBP</w:t>
      </w:r>
      <w:bookmarkEnd w:id="84"/>
    </w:p>
    <w:p w:rsidR="007E2E42" w:rsidRDefault="007E2E42" w:rsidP="00A73D67">
      <w:pPr>
        <w:keepNext/>
        <w:keepLines/>
      </w:pPr>
      <w:r>
        <w:t>Table 4</w:t>
      </w:r>
      <w:r w:rsidR="00DB5F6E">
        <w:t>–</w:t>
      </w:r>
      <w:r w:rsidR="003B04C1">
        <w:t>1</w:t>
      </w:r>
      <w:r w:rsidR="00E10867">
        <w:t>5</w:t>
      </w:r>
      <w:r>
        <w:t xml:space="preserve"> lists SDG&amp;E</w:t>
      </w:r>
      <w:r w:rsidR="002961ED">
        <w:t>’</w:t>
      </w:r>
      <w:r>
        <w:t xml:space="preserve">s CBP events in </w:t>
      </w:r>
      <w:r w:rsidR="007A67BB">
        <w:t>2014</w:t>
      </w:r>
      <w:r>
        <w:t>.</w:t>
      </w:r>
      <w:r w:rsidR="0021345F">
        <w:t xml:space="preserve"> </w:t>
      </w:r>
      <w:r w:rsidR="006D3E25">
        <w:t>Several were</w:t>
      </w:r>
      <w:r w:rsidR="0021345F">
        <w:t xml:space="preserve"> DA</w:t>
      </w:r>
      <w:r w:rsidR="00340676">
        <w:t>-only</w:t>
      </w:r>
      <w:r w:rsidR="0021345F">
        <w:t xml:space="preserve"> event</w:t>
      </w:r>
      <w:r w:rsidR="00654AFD">
        <w:t>s</w:t>
      </w:r>
      <w:r w:rsidR="0021345F">
        <w:t xml:space="preserve">, </w:t>
      </w:r>
      <w:r w:rsidR="00654AFD">
        <w:t xml:space="preserve">while </w:t>
      </w:r>
      <w:r w:rsidR="00340676">
        <w:t xml:space="preserve">the remainder </w:t>
      </w:r>
      <w:r w:rsidR="0021345F">
        <w:t>w</w:t>
      </w:r>
      <w:r w:rsidR="00340676">
        <w:t>ere</w:t>
      </w:r>
      <w:r w:rsidR="0021345F">
        <w:t xml:space="preserve"> </w:t>
      </w:r>
      <w:r w:rsidR="00340676">
        <w:t>combination DA and</w:t>
      </w:r>
      <w:r w:rsidR="0021345F">
        <w:t xml:space="preserve"> DO event</w:t>
      </w:r>
      <w:r w:rsidR="00340676">
        <w:t>s</w:t>
      </w:r>
      <w:r w:rsidR="0021345F">
        <w:t>.</w:t>
      </w:r>
      <w:r w:rsidR="002B75B0">
        <w:t xml:space="preserve"> </w:t>
      </w:r>
    </w:p>
    <w:p w:rsidR="007E2E42" w:rsidRDefault="007E2E42" w:rsidP="00A73D67">
      <w:pPr>
        <w:keepNext/>
        <w:keepLines/>
      </w:pPr>
    </w:p>
    <w:p w:rsidR="007E2E42" w:rsidRPr="00401B10" w:rsidRDefault="007E2E42" w:rsidP="00DB5F6E">
      <w:pPr>
        <w:pStyle w:val="TableCaption"/>
      </w:pPr>
      <w:bookmarkStart w:id="85" w:name="_Toc414545899"/>
      <w:r w:rsidRPr="00401B10">
        <w:t xml:space="preserve">Table </w:t>
      </w:r>
      <w:fldSimple w:instr=" STYLEREF 1 \s ">
        <w:r w:rsidR="004A7BE8">
          <w:rPr>
            <w:noProof/>
          </w:rPr>
          <w:t>4</w:t>
        </w:r>
      </w:fldSimple>
      <w:r w:rsidR="0088207A">
        <w:t>–</w:t>
      </w:r>
      <w:r w:rsidR="003B04C1">
        <w:t>1</w:t>
      </w:r>
      <w:r w:rsidR="00E10867">
        <w:t>5</w:t>
      </w:r>
      <w:r w:rsidRPr="00401B10">
        <w:t xml:space="preserve">: </w:t>
      </w:r>
      <w:r>
        <w:t xml:space="preserve">Event Summary for </w:t>
      </w:r>
      <w:r w:rsidR="007A67BB">
        <w:t>2014</w:t>
      </w:r>
      <w:r w:rsidRPr="00401B10">
        <w:t xml:space="preserve"> – </w:t>
      </w:r>
      <w:r>
        <w:rPr>
          <w:i/>
        </w:rPr>
        <w:t>S</w:t>
      </w:r>
      <w:r w:rsidR="009627F3">
        <w:rPr>
          <w:i/>
        </w:rPr>
        <w:t>DG&amp;</w:t>
      </w:r>
      <w:r w:rsidRPr="00401B10">
        <w:rPr>
          <w:i/>
        </w:rPr>
        <w:t>E CBP</w:t>
      </w:r>
      <w:bookmarkEnd w:id="85"/>
    </w:p>
    <w:p w:rsidR="007E2E42" w:rsidRDefault="00DA0C2C" w:rsidP="00340676">
      <w:pPr>
        <w:keepNext/>
        <w:keepLines/>
        <w:jc w:val="center"/>
      </w:pPr>
      <w:r w:rsidRPr="00DA0C2C">
        <w:rPr>
          <w:noProof/>
        </w:rPr>
        <w:drawing>
          <wp:inline distT="0" distB="0" distL="0" distR="0" wp14:anchorId="0372AB7F" wp14:editId="6129E866">
            <wp:extent cx="3962400" cy="54673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62400" cy="5467350"/>
                    </a:xfrm>
                    <a:prstGeom prst="rect">
                      <a:avLst/>
                    </a:prstGeom>
                    <a:noFill/>
                    <a:ln>
                      <a:noFill/>
                    </a:ln>
                  </pic:spPr>
                </pic:pic>
              </a:graphicData>
            </a:graphic>
          </wp:inline>
        </w:drawing>
      </w:r>
    </w:p>
    <w:p w:rsidR="00654AFD" w:rsidRPr="00654AFD" w:rsidRDefault="00654AFD" w:rsidP="00654AFD">
      <w:pPr>
        <w:keepNext/>
        <w:keepLines/>
        <w:rPr>
          <w:sz w:val="20"/>
          <w:szCs w:val="20"/>
        </w:rPr>
      </w:pPr>
      <w:r>
        <w:tab/>
      </w:r>
      <w:r>
        <w:tab/>
      </w:r>
    </w:p>
    <w:p w:rsidR="007D59C2" w:rsidRDefault="007D59C2" w:rsidP="007D59C2">
      <w:pPr>
        <w:pStyle w:val="Heading3"/>
        <w:rPr>
          <w:sz w:val="22"/>
        </w:rPr>
      </w:pPr>
      <w:bookmarkStart w:id="86" w:name="_Toc415231764"/>
      <w:r w:rsidRPr="006A7DFE">
        <w:rPr>
          <w:sz w:val="22"/>
        </w:rPr>
        <w:t>4.3.</w:t>
      </w:r>
      <w:r w:rsidR="007E2E42" w:rsidRPr="006A7DFE">
        <w:rPr>
          <w:sz w:val="22"/>
        </w:rPr>
        <w:t>2</w:t>
      </w:r>
      <w:r w:rsidRPr="006A7DFE">
        <w:rPr>
          <w:sz w:val="22"/>
        </w:rPr>
        <w:t xml:space="preserve"> Summary load impacts</w:t>
      </w:r>
      <w:bookmarkEnd w:id="86"/>
    </w:p>
    <w:p w:rsidR="005928FF" w:rsidRPr="00401B10" w:rsidRDefault="007E2E42" w:rsidP="005928FF">
      <w:pPr>
        <w:spacing w:before="240"/>
      </w:pPr>
      <w:r>
        <w:t>Table</w:t>
      </w:r>
      <w:r w:rsidR="005928FF" w:rsidRPr="00401B10">
        <w:t xml:space="preserve"> 4–</w:t>
      </w:r>
      <w:r w:rsidR="004A5603">
        <w:t>1</w:t>
      </w:r>
      <w:r w:rsidR="00E10867">
        <w:t>6</w:t>
      </w:r>
      <w:r w:rsidR="005928FF" w:rsidRPr="00401B10">
        <w:t xml:space="preserve"> show</w:t>
      </w:r>
      <w:r>
        <w:t>s</w:t>
      </w:r>
      <w:r w:rsidR="005928FF" w:rsidRPr="00401B10">
        <w:t xml:space="preserve"> </w:t>
      </w:r>
      <w:r w:rsidR="005C7A57">
        <w:t>average event-hour</w:t>
      </w:r>
      <w:r w:rsidR="005928FF" w:rsidRPr="00401B10">
        <w:t xml:space="preserve"> estimated </w:t>
      </w:r>
      <w:r w:rsidR="005928FF" w:rsidRPr="00401B10">
        <w:rPr>
          <w:i/>
        </w:rPr>
        <w:t>reference load</w:t>
      </w:r>
      <w:r w:rsidR="005928FF" w:rsidRPr="00401B10">
        <w:t xml:space="preserve">, </w:t>
      </w:r>
      <w:r w:rsidR="005928FF" w:rsidRPr="00401B10">
        <w:rPr>
          <w:i/>
        </w:rPr>
        <w:t>observed load</w:t>
      </w:r>
      <w:r w:rsidR="005928FF" w:rsidRPr="00401B10">
        <w:t xml:space="preserve">, </w:t>
      </w:r>
      <w:r w:rsidR="005928FF" w:rsidRPr="00401B10">
        <w:rPr>
          <w:i/>
        </w:rPr>
        <w:t>load impacts</w:t>
      </w:r>
      <w:r w:rsidR="005928FF" w:rsidRPr="00401B10">
        <w:t xml:space="preserve"> and </w:t>
      </w:r>
      <w:r w:rsidR="005928FF" w:rsidRPr="00401B10">
        <w:rPr>
          <w:i/>
        </w:rPr>
        <w:t>percentage load impacts</w:t>
      </w:r>
      <w:r w:rsidR="005928FF" w:rsidRPr="00401B10">
        <w:t xml:space="preserve"> for the DA and DO </w:t>
      </w:r>
      <w:r w:rsidR="005928FF">
        <w:t xml:space="preserve">notice and associated </w:t>
      </w:r>
      <w:r w:rsidR="005928FF" w:rsidRPr="00401B10">
        <w:t xml:space="preserve">product types, for each of </w:t>
      </w:r>
      <w:r w:rsidR="005928FF">
        <w:t>SDG&amp;</w:t>
      </w:r>
      <w:r w:rsidR="005928FF" w:rsidRPr="00401B10">
        <w:t>E</w:t>
      </w:r>
      <w:r w:rsidR="002961ED">
        <w:t>’</w:t>
      </w:r>
      <w:r w:rsidR="005928FF" w:rsidRPr="00401B10">
        <w:t xml:space="preserve">s CBP events, and for averages across the respective </w:t>
      </w:r>
      <w:r w:rsidR="00E37E0F">
        <w:t xml:space="preserve">typical </w:t>
      </w:r>
      <w:r w:rsidR="005928FF" w:rsidRPr="00401B10">
        <w:t>events</w:t>
      </w:r>
      <w:r w:rsidR="005928FF">
        <w:t xml:space="preserve">. </w:t>
      </w:r>
      <w:r w:rsidR="005928FF" w:rsidRPr="00401B10">
        <w:t xml:space="preserve">The </w:t>
      </w:r>
      <w:r w:rsidR="005C7A57">
        <w:t>average event-hour</w:t>
      </w:r>
      <w:r w:rsidR="005928FF" w:rsidRPr="00401B10">
        <w:t xml:space="preserve"> DA load impact </w:t>
      </w:r>
      <w:r w:rsidR="00204E4C">
        <w:t xml:space="preserve">for the typical event </w:t>
      </w:r>
      <w:r w:rsidR="005928FF" w:rsidRPr="00401B10">
        <w:t xml:space="preserve">was </w:t>
      </w:r>
      <w:r w:rsidR="006A7DFE">
        <w:t>9</w:t>
      </w:r>
      <w:r w:rsidR="004A5603">
        <w:t>.</w:t>
      </w:r>
      <w:r w:rsidR="006A7DFE">
        <w:t>9</w:t>
      </w:r>
      <w:r w:rsidR="005928FF" w:rsidRPr="00401B10">
        <w:t xml:space="preserve"> MW, while </w:t>
      </w:r>
      <w:r w:rsidR="005928FF" w:rsidRPr="00401B10">
        <w:lastRenderedPageBreak/>
        <w:t>DO load impact</w:t>
      </w:r>
      <w:r w:rsidR="005928FF">
        <w:t>s</w:t>
      </w:r>
      <w:r w:rsidR="005928FF" w:rsidRPr="00401B10">
        <w:t xml:space="preserve"> averaged </w:t>
      </w:r>
      <w:r w:rsidR="00204E4C">
        <w:t>5</w:t>
      </w:r>
      <w:r w:rsidR="005928FF" w:rsidRPr="00401B10">
        <w:t xml:space="preserve"> MW</w:t>
      </w:r>
      <w:r w:rsidR="005928FF">
        <w:t xml:space="preserve"> for the 1-4 Hour product, and </w:t>
      </w:r>
      <w:r w:rsidR="00204E4C">
        <w:t xml:space="preserve">3.8 </w:t>
      </w:r>
      <w:r w:rsidR="005928FF">
        <w:t>MW for the 2-6 Hour product</w:t>
      </w:r>
      <w:r w:rsidR="005928FF" w:rsidRPr="00401B10">
        <w:t xml:space="preserve">. </w:t>
      </w:r>
      <w:r w:rsidR="005928FF">
        <w:t xml:space="preserve">Average percentage load impacts were </w:t>
      </w:r>
      <w:r w:rsidR="004A5603">
        <w:t>2</w:t>
      </w:r>
      <w:r w:rsidR="006A7DFE">
        <w:t>5</w:t>
      </w:r>
      <w:r w:rsidR="005928FF">
        <w:t xml:space="preserve"> percent for the DA product, and 1</w:t>
      </w:r>
      <w:r w:rsidR="00204E4C">
        <w:t>5</w:t>
      </w:r>
      <w:r w:rsidR="005928FF">
        <w:t xml:space="preserve"> to 1</w:t>
      </w:r>
      <w:r w:rsidR="00204E4C">
        <w:t>8</w:t>
      </w:r>
      <w:r w:rsidR="005928FF">
        <w:t xml:space="preserve"> percent for the two DO product types.</w:t>
      </w:r>
      <w:r w:rsidR="005928FF" w:rsidRPr="00401B10">
        <w:t xml:space="preserve"> </w:t>
      </w:r>
    </w:p>
    <w:p w:rsidR="005928FF" w:rsidRPr="005928FF" w:rsidRDefault="005928FF" w:rsidP="005928FF"/>
    <w:p w:rsidR="005928FF" w:rsidRPr="00401B10" w:rsidRDefault="005928FF" w:rsidP="00DB5F6E">
      <w:pPr>
        <w:pStyle w:val="TableCaption"/>
      </w:pPr>
      <w:bookmarkStart w:id="87" w:name="_Toc414545900"/>
      <w:r w:rsidRPr="00401B10">
        <w:t xml:space="preserve">Table </w:t>
      </w:r>
      <w:fldSimple w:instr=" STYLEREF 1 \s ">
        <w:r w:rsidR="004A7BE8">
          <w:rPr>
            <w:noProof/>
          </w:rPr>
          <w:t>4</w:t>
        </w:r>
      </w:fldSimple>
      <w:r w:rsidR="0088207A">
        <w:t>–</w:t>
      </w:r>
      <w:r w:rsidR="004A5603">
        <w:t>1</w:t>
      </w:r>
      <w:r w:rsidR="00E10867">
        <w:t>6</w:t>
      </w:r>
      <w:r w:rsidRPr="00401B10">
        <w:t xml:space="preserve">: </w:t>
      </w:r>
      <w:r w:rsidR="005C7A57">
        <w:t xml:space="preserve">Average </w:t>
      </w:r>
      <w:r w:rsidR="005C7A57" w:rsidRPr="005C7A57">
        <w:t>Event-Hour</w:t>
      </w:r>
      <w:r w:rsidRPr="00401B10">
        <w:t xml:space="preserve"> Load Impacts by Event – </w:t>
      </w:r>
      <w:r>
        <w:rPr>
          <w:i/>
        </w:rPr>
        <w:t>SDG&amp;E</w:t>
      </w:r>
      <w:r w:rsidRPr="00401B10">
        <w:rPr>
          <w:i/>
        </w:rPr>
        <w:t xml:space="preserve"> CBP</w:t>
      </w:r>
      <w:bookmarkEnd w:id="87"/>
    </w:p>
    <w:p w:rsidR="00006061" w:rsidRDefault="006A7DFE" w:rsidP="000A2761">
      <w:pPr>
        <w:jc w:val="center"/>
      </w:pPr>
      <w:r w:rsidRPr="006A7DFE">
        <w:rPr>
          <w:noProof/>
        </w:rPr>
        <w:drawing>
          <wp:inline distT="0" distB="0" distL="0" distR="0" wp14:anchorId="1FC572EA" wp14:editId="74D63706">
            <wp:extent cx="5486400" cy="5259823"/>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86400" cy="5259823"/>
                    </a:xfrm>
                    <a:prstGeom prst="rect">
                      <a:avLst/>
                    </a:prstGeom>
                    <a:noFill/>
                    <a:ln>
                      <a:noFill/>
                    </a:ln>
                  </pic:spPr>
                </pic:pic>
              </a:graphicData>
            </a:graphic>
          </wp:inline>
        </w:drawing>
      </w:r>
    </w:p>
    <w:p w:rsidR="000A2761" w:rsidRPr="0001003E" w:rsidRDefault="000A2761" w:rsidP="000A2761"/>
    <w:p w:rsidR="00EB3DCF" w:rsidRDefault="00EB3DCF" w:rsidP="00F22D50"/>
    <w:p w:rsidR="007E2E42" w:rsidRDefault="007E2E42" w:rsidP="007E2E42">
      <w:r w:rsidRPr="00401B10">
        <w:t>Ta</w:t>
      </w:r>
      <w:r>
        <w:t>ble 4</w:t>
      </w:r>
      <w:r w:rsidR="00DB5F6E">
        <w:t>–</w:t>
      </w:r>
      <w:r w:rsidR="004A5603">
        <w:t>1</w:t>
      </w:r>
      <w:r w:rsidR="00E10867">
        <w:t>7</w:t>
      </w:r>
      <w:r>
        <w:t xml:space="preserve"> shows the distribution of </w:t>
      </w:r>
      <w:r w:rsidR="005C7A57">
        <w:t>average event-hour</w:t>
      </w:r>
      <w:r>
        <w:t xml:space="preserve"> load impacts for the average event by industry type. </w:t>
      </w:r>
      <w:r w:rsidR="004A5603">
        <w:t xml:space="preserve">Most of the DA load impacts came from a </w:t>
      </w:r>
      <w:r w:rsidR="00EB0108">
        <w:t xml:space="preserve">relatively </w:t>
      </w:r>
      <w:r w:rsidR="004A5603">
        <w:t xml:space="preserve">small number of </w:t>
      </w:r>
      <w:r w:rsidR="00E37E0F">
        <w:t xml:space="preserve">large </w:t>
      </w:r>
      <w:r w:rsidR="004A5603">
        <w:t xml:space="preserve">Manufacturing </w:t>
      </w:r>
      <w:r w:rsidR="00595F10">
        <w:t>service accounts</w:t>
      </w:r>
      <w:r w:rsidR="006A7DFE">
        <w:t xml:space="preserve"> (primarily two large accounts)</w:t>
      </w:r>
      <w:r w:rsidR="004A5603">
        <w:t xml:space="preserve">, while the larger number of commercial building accounts produced </w:t>
      </w:r>
      <w:r w:rsidR="00DC671B">
        <w:t>0.</w:t>
      </w:r>
      <w:r w:rsidR="00EB0108">
        <w:t>6</w:t>
      </w:r>
      <w:r w:rsidR="004A5603">
        <w:t xml:space="preserve"> MW of load reductions. The majority of DO load impacts were provided by retail stores.</w:t>
      </w:r>
    </w:p>
    <w:p w:rsidR="007E2E42" w:rsidRDefault="007E2E42" w:rsidP="007E2E42"/>
    <w:p w:rsidR="007E2E42" w:rsidRPr="00401B10" w:rsidRDefault="007E2E42" w:rsidP="00DB5F6E">
      <w:pPr>
        <w:pStyle w:val="TableCaption"/>
      </w:pPr>
      <w:bookmarkStart w:id="88" w:name="_Toc414545901"/>
      <w:r w:rsidRPr="00401B10">
        <w:lastRenderedPageBreak/>
        <w:t xml:space="preserve">Table </w:t>
      </w:r>
      <w:fldSimple w:instr=" STYLEREF 1 \s ">
        <w:r w:rsidR="004A7BE8">
          <w:rPr>
            <w:noProof/>
          </w:rPr>
          <w:t>4</w:t>
        </w:r>
      </w:fldSimple>
      <w:r w:rsidR="0088207A">
        <w:t>–</w:t>
      </w:r>
      <w:r w:rsidR="004A5603">
        <w:t>1</w:t>
      </w:r>
      <w:r w:rsidR="00E10867">
        <w:t>7</w:t>
      </w:r>
      <w:r w:rsidRPr="00401B10">
        <w:t xml:space="preserve">: </w:t>
      </w:r>
      <w:r>
        <w:t xml:space="preserve">Distribution of </w:t>
      </w:r>
      <w:r w:rsidR="005C7A57">
        <w:t xml:space="preserve">Average </w:t>
      </w:r>
      <w:r w:rsidR="005C7A57" w:rsidRPr="005C7A57">
        <w:t>Event-Hour</w:t>
      </w:r>
      <w:r w:rsidRPr="00401B10">
        <w:t xml:space="preserve"> Load Impacts by </w:t>
      </w:r>
      <w:r>
        <w:t>Industry Type</w:t>
      </w:r>
      <w:r w:rsidRPr="00401B10">
        <w:t xml:space="preserve"> – </w:t>
      </w:r>
      <w:r w:rsidR="0001003E">
        <w:rPr>
          <w:i/>
        </w:rPr>
        <w:t>SDG</w:t>
      </w:r>
      <w:r w:rsidRPr="00401B10">
        <w:rPr>
          <w:i/>
        </w:rPr>
        <w:t>&amp;E CBP</w:t>
      </w:r>
      <w:bookmarkEnd w:id="88"/>
    </w:p>
    <w:p w:rsidR="007E2E42" w:rsidRDefault="0084239A" w:rsidP="00EB0108">
      <w:pPr>
        <w:jc w:val="center"/>
      </w:pPr>
      <w:r w:rsidRPr="0084239A">
        <w:rPr>
          <w:noProof/>
        </w:rPr>
        <w:drawing>
          <wp:inline distT="0" distB="0" distL="0" distR="0" wp14:anchorId="5909CDF9" wp14:editId="682FBFC4">
            <wp:extent cx="5486400" cy="3219867"/>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86400" cy="3219867"/>
                    </a:xfrm>
                    <a:prstGeom prst="rect">
                      <a:avLst/>
                    </a:prstGeom>
                    <a:noFill/>
                    <a:ln>
                      <a:noFill/>
                    </a:ln>
                  </pic:spPr>
                </pic:pic>
              </a:graphicData>
            </a:graphic>
          </wp:inline>
        </w:drawing>
      </w:r>
    </w:p>
    <w:p w:rsidR="00EC1575" w:rsidRPr="00233068" w:rsidRDefault="00EC1575" w:rsidP="007E2E42"/>
    <w:p w:rsidR="009C0310" w:rsidRDefault="009C0310" w:rsidP="009C0310">
      <w:pPr>
        <w:pStyle w:val="Heading3"/>
        <w:rPr>
          <w:sz w:val="22"/>
          <w:szCs w:val="22"/>
        </w:rPr>
      </w:pPr>
      <w:bookmarkStart w:id="89" w:name="_Toc415231765"/>
      <w:r w:rsidRPr="007D59C2">
        <w:rPr>
          <w:sz w:val="22"/>
          <w:szCs w:val="22"/>
        </w:rPr>
        <w:t>4.</w:t>
      </w:r>
      <w:r>
        <w:rPr>
          <w:sz w:val="22"/>
          <w:szCs w:val="22"/>
        </w:rPr>
        <w:t>3</w:t>
      </w:r>
      <w:r w:rsidRPr="007D59C2">
        <w:rPr>
          <w:sz w:val="22"/>
          <w:szCs w:val="22"/>
        </w:rPr>
        <w:t>.</w:t>
      </w:r>
      <w:r>
        <w:rPr>
          <w:sz w:val="22"/>
          <w:szCs w:val="22"/>
        </w:rPr>
        <w:t>3</w:t>
      </w:r>
      <w:r w:rsidRPr="007D59C2">
        <w:rPr>
          <w:sz w:val="22"/>
          <w:szCs w:val="22"/>
        </w:rPr>
        <w:t xml:space="preserve"> </w:t>
      </w:r>
      <w:r>
        <w:rPr>
          <w:sz w:val="22"/>
          <w:szCs w:val="22"/>
        </w:rPr>
        <w:t>Hourl</w:t>
      </w:r>
      <w:r w:rsidRPr="007D59C2">
        <w:rPr>
          <w:sz w:val="22"/>
          <w:szCs w:val="22"/>
        </w:rPr>
        <w:t>y load impacts</w:t>
      </w:r>
      <w:bookmarkEnd w:id="89"/>
    </w:p>
    <w:p w:rsidR="00A73D67" w:rsidRDefault="00A73D67" w:rsidP="00A73D67">
      <w:r w:rsidRPr="00211752">
        <w:t>Figure</w:t>
      </w:r>
      <w:r>
        <w:t xml:space="preserve"> 4</w:t>
      </w:r>
      <w:r w:rsidR="00DB5F6E">
        <w:t>–</w:t>
      </w:r>
      <w:r>
        <w:t>4 illustrates the hourly profiles of the estimated reference load, observed load</w:t>
      </w:r>
      <w:r w:rsidR="00D7314E">
        <w:t>,</w:t>
      </w:r>
      <w:r>
        <w:t xml:space="preserve"> and estimated load impacts (in MW) of the SDG&amp;E DO product type </w:t>
      </w:r>
      <w:r w:rsidR="00204E4C">
        <w:t xml:space="preserve">(including both DO 1-4 and 2-6) </w:t>
      </w:r>
      <w:r>
        <w:t xml:space="preserve">for the </w:t>
      </w:r>
      <w:r w:rsidR="00B85104">
        <w:t xml:space="preserve">four-hour </w:t>
      </w:r>
      <w:r w:rsidR="00204E4C">
        <w:t xml:space="preserve">September </w:t>
      </w:r>
      <w:r>
        <w:t>event</w:t>
      </w:r>
      <w:r w:rsidR="00B85104">
        <w:t>, which was called for hours-ending 1</w:t>
      </w:r>
      <w:r w:rsidR="00204E4C">
        <w:t>6</w:t>
      </w:r>
      <w:r w:rsidR="00B85104">
        <w:t>-1</w:t>
      </w:r>
      <w:r w:rsidR="00204E4C">
        <w:t>9</w:t>
      </w:r>
      <w:r>
        <w:t>.</w:t>
      </w:r>
    </w:p>
    <w:p w:rsidR="00233068" w:rsidRPr="00233068" w:rsidRDefault="00233068" w:rsidP="00233068"/>
    <w:p w:rsidR="00233068" w:rsidRPr="00F65002" w:rsidRDefault="00233068" w:rsidP="00DB5F6E">
      <w:pPr>
        <w:pStyle w:val="FigureCaption"/>
      </w:pPr>
      <w:bookmarkStart w:id="90" w:name="_Toc412549193"/>
      <w:r w:rsidRPr="00F65002">
        <w:lastRenderedPageBreak/>
        <w:t xml:space="preserve">Figure </w:t>
      </w:r>
      <w:fldSimple w:instr=" STYLEREF 1 \s ">
        <w:r w:rsidR="004A7BE8">
          <w:rPr>
            <w:noProof/>
          </w:rPr>
          <w:t>4</w:t>
        </w:r>
      </w:fldSimple>
      <w:r w:rsidR="0088207A">
        <w:t>–</w:t>
      </w:r>
      <w:r>
        <w:t>4</w:t>
      </w:r>
      <w:r w:rsidRPr="00F65002">
        <w:t>: Hourly Loads and Load Impacts – S</w:t>
      </w:r>
      <w:r>
        <w:t>DG&amp;</w:t>
      </w:r>
      <w:r w:rsidRPr="00F65002">
        <w:t xml:space="preserve">E CBP DO </w:t>
      </w:r>
      <w:r w:rsidR="00204E4C">
        <w:t>Total</w:t>
      </w:r>
      <w:r w:rsidRPr="00F65002">
        <w:t xml:space="preserve"> </w:t>
      </w:r>
      <w:r w:rsidR="00B85104">
        <w:br/>
      </w:r>
      <w:r w:rsidR="00204E4C">
        <w:rPr>
          <w:i/>
        </w:rPr>
        <w:t>September 11</w:t>
      </w:r>
      <w:r w:rsidRPr="00B85104">
        <w:rPr>
          <w:i/>
        </w:rPr>
        <w:t xml:space="preserve"> Event</w:t>
      </w:r>
      <w:bookmarkEnd w:id="90"/>
    </w:p>
    <w:p w:rsidR="0016251E" w:rsidRDefault="00204E4C" w:rsidP="00233068">
      <w:pPr>
        <w:jc w:val="center"/>
      </w:pPr>
      <w:r w:rsidRPr="00204E4C">
        <w:rPr>
          <w:noProof/>
        </w:rPr>
        <w:drawing>
          <wp:inline distT="0" distB="0" distL="0" distR="0" wp14:anchorId="0ADCBB24" wp14:editId="51040DFF">
            <wp:extent cx="5486400" cy="372465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86400" cy="3724656"/>
                    </a:xfrm>
                    <a:prstGeom prst="rect">
                      <a:avLst/>
                    </a:prstGeom>
                    <a:noFill/>
                    <a:ln>
                      <a:noFill/>
                    </a:ln>
                  </pic:spPr>
                </pic:pic>
              </a:graphicData>
            </a:graphic>
          </wp:inline>
        </w:drawing>
      </w:r>
    </w:p>
    <w:p w:rsidR="003B04C1" w:rsidRDefault="003B04C1" w:rsidP="003B04C1">
      <w:pPr>
        <w:pStyle w:val="Heading3"/>
        <w:rPr>
          <w:sz w:val="22"/>
          <w:szCs w:val="22"/>
        </w:rPr>
      </w:pPr>
      <w:bookmarkStart w:id="91" w:name="_Toc415231766"/>
      <w:r w:rsidRPr="00E0672D">
        <w:rPr>
          <w:sz w:val="22"/>
          <w:szCs w:val="22"/>
        </w:rPr>
        <w:t>4.2.4 Load impacts of TA/TI and AutoDR participants</w:t>
      </w:r>
      <w:bookmarkEnd w:id="91"/>
    </w:p>
    <w:p w:rsidR="003B04C1" w:rsidRDefault="00866C32" w:rsidP="003B04C1">
      <w:r>
        <w:t>Table 4</w:t>
      </w:r>
      <w:r w:rsidR="00EB5945">
        <w:t>–</w:t>
      </w:r>
      <w:r>
        <w:t>1</w:t>
      </w:r>
      <w:r w:rsidR="00E10867">
        <w:t>8</w:t>
      </w:r>
      <w:r w:rsidR="00584CD0">
        <w:t xml:space="preserve"> </w:t>
      </w:r>
      <w:r>
        <w:t>show</w:t>
      </w:r>
      <w:r w:rsidR="00E0672D">
        <w:t>s</w:t>
      </w:r>
      <w:r>
        <w:t xml:space="preserve"> </w:t>
      </w:r>
      <w:r w:rsidR="006B7C16">
        <w:t xml:space="preserve">CBP </w:t>
      </w:r>
      <w:r>
        <w:t xml:space="preserve">load impacts for </w:t>
      </w:r>
      <w:r w:rsidR="006B7C16">
        <w:t>service accounts that received TA/TI incentives at some point prior to the DR event(s) summarized</w:t>
      </w:r>
      <w:r>
        <w:t xml:space="preserve">. </w:t>
      </w:r>
      <w:r w:rsidR="002142FE">
        <w:t>On average, six</w:t>
      </w:r>
      <w:r w:rsidR="00584CD0">
        <w:t xml:space="preserve"> </w:t>
      </w:r>
      <w:r w:rsidR="00E0672D">
        <w:t>DA and 5</w:t>
      </w:r>
      <w:r w:rsidR="002142FE">
        <w:t>5</w:t>
      </w:r>
      <w:r w:rsidR="00E0672D">
        <w:t xml:space="preserve"> DO </w:t>
      </w:r>
      <w:r w:rsidR="00541081">
        <w:t xml:space="preserve">customer service accounts </w:t>
      </w:r>
      <w:r w:rsidR="00584CD0">
        <w:t xml:space="preserve">were </w:t>
      </w:r>
      <w:r w:rsidR="002142FE">
        <w:t>i</w:t>
      </w:r>
      <w:r w:rsidR="00584CD0">
        <w:t>n TA/TI. They provided average</w:t>
      </w:r>
      <w:r w:rsidR="00E0672D">
        <w:t>s</w:t>
      </w:r>
      <w:r w:rsidR="00584CD0">
        <w:t xml:space="preserve"> of </w:t>
      </w:r>
      <w:r w:rsidR="00E0672D">
        <w:t>0.</w:t>
      </w:r>
      <w:r w:rsidR="002142FE">
        <w:t>22</w:t>
      </w:r>
      <w:r w:rsidR="00584CD0">
        <w:t xml:space="preserve"> </w:t>
      </w:r>
      <w:r w:rsidR="00E0672D">
        <w:t>and 1.</w:t>
      </w:r>
      <w:r w:rsidR="002142FE">
        <w:t>8</w:t>
      </w:r>
      <w:r w:rsidR="00E0672D">
        <w:t xml:space="preserve"> M</w:t>
      </w:r>
      <w:r w:rsidR="00584CD0">
        <w:t xml:space="preserve">W in load impacts </w:t>
      </w:r>
      <w:r w:rsidR="00E0672D">
        <w:t xml:space="preserve">for the average </w:t>
      </w:r>
      <w:r w:rsidR="002142FE">
        <w:t xml:space="preserve">of typical </w:t>
      </w:r>
      <w:r w:rsidR="00584CD0">
        <w:t>event</w:t>
      </w:r>
      <w:r w:rsidR="002142FE">
        <w:t>s</w:t>
      </w:r>
      <w:r w:rsidR="00584CD0">
        <w:t xml:space="preserve">. </w:t>
      </w:r>
    </w:p>
    <w:p w:rsidR="00866C32" w:rsidRPr="003B04C1" w:rsidRDefault="00866C32" w:rsidP="003B04C1"/>
    <w:p w:rsidR="003B04C1" w:rsidRPr="00401B10" w:rsidRDefault="003B04C1" w:rsidP="00584CD0">
      <w:pPr>
        <w:pStyle w:val="TableCaption"/>
        <w:keepLines/>
      </w:pPr>
      <w:bookmarkStart w:id="92" w:name="_Toc414545902"/>
      <w:r w:rsidRPr="00401B10">
        <w:lastRenderedPageBreak/>
        <w:t xml:space="preserve">Table </w:t>
      </w:r>
      <w:fldSimple w:instr=" STYLEREF 1 \s ">
        <w:r w:rsidR="004A7BE8">
          <w:rPr>
            <w:noProof/>
          </w:rPr>
          <w:t>4</w:t>
        </w:r>
      </w:fldSimple>
      <w:r>
        <w:t>–1</w:t>
      </w:r>
      <w:r w:rsidR="00E10867">
        <w:t>8</w:t>
      </w:r>
      <w:r w:rsidRPr="00401B10">
        <w:t xml:space="preserve">: Load Impacts </w:t>
      </w:r>
      <w:r>
        <w:t>of TA/TI Participants</w:t>
      </w:r>
      <w:r w:rsidRPr="00401B10">
        <w:t xml:space="preserve"> – </w:t>
      </w:r>
      <w:r>
        <w:rPr>
          <w:i/>
        </w:rPr>
        <w:t>S</w:t>
      </w:r>
      <w:r w:rsidR="00866C32">
        <w:rPr>
          <w:i/>
        </w:rPr>
        <w:t>DG&amp;</w:t>
      </w:r>
      <w:r w:rsidRPr="00401B10">
        <w:rPr>
          <w:i/>
        </w:rPr>
        <w:t>E CBP</w:t>
      </w:r>
      <w:bookmarkEnd w:id="92"/>
    </w:p>
    <w:p w:rsidR="00F93512" w:rsidRDefault="0084239A" w:rsidP="00DA7167">
      <w:pPr>
        <w:jc w:val="center"/>
      </w:pPr>
      <w:r w:rsidRPr="0084239A">
        <w:rPr>
          <w:noProof/>
        </w:rPr>
        <w:drawing>
          <wp:inline distT="0" distB="0" distL="0" distR="0" wp14:anchorId="2399D923" wp14:editId="602BE3F6">
            <wp:extent cx="5013960" cy="545592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013960" cy="5455920"/>
                    </a:xfrm>
                    <a:prstGeom prst="rect">
                      <a:avLst/>
                    </a:prstGeom>
                    <a:noFill/>
                    <a:ln>
                      <a:noFill/>
                    </a:ln>
                  </pic:spPr>
                </pic:pic>
              </a:graphicData>
            </a:graphic>
          </wp:inline>
        </w:drawing>
      </w:r>
    </w:p>
    <w:p w:rsidR="00E0672D" w:rsidRDefault="00E0672D" w:rsidP="00584CD0"/>
    <w:p w:rsidR="00E0672D" w:rsidRDefault="00E0672D" w:rsidP="00584CD0"/>
    <w:p w:rsidR="00E0672D" w:rsidRDefault="00E0672D" w:rsidP="00584CD0">
      <w:r>
        <w:t>Table 4–1</w:t>
      </w:r>
      <w:r w:rsidR="00E10867">
        <w:t>9</w:t>
      </w:r>
      <w:r>
        <w:t xml:space="preserve"> shows </w:t>
      </w:r>
      <w:r w:rsidR="006B7C16">
        <w:t xml:space="preserve">CBP </w:t>
      </w:r>
      <w:r>
        <w:t>load impacts for</w:t>
      </w:r>
      <w:r w:rsidR="006B7C16">
        <w:t xml:space="preserve"> service accounts</w:t>
      </w:r>
      <w:r w:rsidR="006B7C16" w:rsidRPr="006B7C16">
        <w:t xml:space="preserve"> </w:t>
      </w:r>
      <w:r w:rsidR="006B7C16">
        <w:t>that received AutoDR incentives at some point prior to the DR event(s) summarized</w:t>
      </w:r>
      <w:r w:rsidR="00CC7122">
        <w:t xml:space="preserve">, which included </w:t>
      </w:r>
      <w:r w:rsidR="002142FE">
        <w:t>an average of 7</w:t>
      </w:r>
      <w:r w:rsidR="00CC7122">
        <w:t xml:space="preserve"> DA and </w:t>
      </w:r>
      <w:r w:rsidR="002142FE">
        <w:t>57</w:t>
      </w:r>
      <w:r w:rsidR="00CC7122">
        <w:t xml:space="preserve"> DO customer</w:t>
      </w:r>
      <w:r w:rsidR="00541081">
        <w:t xml:space="preserve"> service account</w:t>
      </w:r>
      <w:r w:rsidR="00CC7122">
        <w:t>s</w:t>
      </w:r>
      <w:r>
        <w:t>.</w:t>
      </w:r>
      <w:r w:rsidR="00CC7122">
        <w:t xml:space="preserve"> Those customers provided load impacts </w:t>
      </w:r>
      <w:r w:rsidR="002142FE">
        <w:t>averaging</w:t>
      </w:r>
      <w:r w:rsidR="00CC7122">
        <w:t xml:space="preserve"> 0.</w:t>
      </w:r>
      <w:r w:rsidR="002142FE">
        <w:t>1</w:t>
      </w:r>
      <w:r w:rsidR="00CC7122">
        <w:t>8 and 0.</w:t>
      </w:r>
      <w:r w:rsidR="002142FE">
        <w:t>94</w:t>
      </w:r>
      <w:r w:rsidR="00CC7122">
        <w:t xml:space="preserve"> MW for the </w:t>
      </w:r>
      <w:r w:rsidR="002142FE">
        <w:t xml:space="preserve">typical </w:t>
      </w:r>
      <w:r w:rsidR="00CC7122">
        <w:t>event.</w:t>
      </w:r>
    </w:p>
    <w:p w:rsidR="00584CD0" w:rsidRPr="00401B10" w:rsidRDefault="00584CD0" w:rsidP="00584CD0">
      <w:pPr>
        <w:pStyle w:val="TableCaption"/>
      </w:pPr>
      <w:bookmarkStart w:id="93" w:name="_Toc414545903"/>
      <w:r w:rsidRPr="00401B10">
        <w:lastRenderedPageBreak/>
        <w:t xml:space="preserve">Table </w:t>
      </w:r>
      <w:fldSimple w:instr=" STYLEREF 1 \s ">
        <w:r w:rsidR="004A7BE8">
          <w:rPr>
            <w:noProof/>
          </w:rPr>
          <w:t>4</w:t>
        </w:r>
      </w:fldSimple>
      <w:r>
        <w:t>–1</w:t>
      </w:r>
      <w:r w:rsidR="00E10867">
        <w:t>9</w:t>
      </w:r>
      <w:r w:rsidRPr="00401B10">
        <w:t xml:space="preserve">: Load Impacts </w:t>
      </w:r>
      <w:r>
        <w:t xml:space="preserve">of </w:t>
      </w:r>
      <w:r w:rsidR="00E0672D">
        <w:t xml:space="preserve">AutoDR </w:t>
      </w:r>
      <w:r>
        <w:t>Participants</w:t>
      </w:r>
      <w:r w:rsidRPr="00401B10">
        <w:t xml:space="preserve"> – </w:t>
      </w:r>
      <w:r>
        <w:rPr>
          <w:i/>
        </w:rPr>
        <w:t>SDG&amp;</w:t>
      </w:r>
      <w:r w:rsidRPr="00401B10">
        <w:rPr>
          <w:i/>
        </w:rPr>
        <w:t>E CBP</w:t>
      </w:r>
      <w:r>
        <w:rPr>
          <w:i/>
        </w:rPr>
        <w:t xml:space="preserve"> D</w:t>
      </w:r>
      <w:r w:rsidR="00E0672D">
        <w:rPr>
          <w:i/>
        </w:rPr>
        <w:t>A and D</w:t>
      </w:r>
      <w:r>
        <w:rPr>
          <w:i/>
        </w:rPr>
        <w:t>O</w:t>
      </w:r>
      <w:bookmarkEnd w:id="93"/>
    </w:p>
    <w:p w:rsidR="00584CD0" w:rsidRDefault="0084239A" w:rsidP="00DA7167">
      <w:pPr>
        <w:jc w:val="center"/>
      </w:pPr>
      <w:r w:rsidRPr="0084239A">
        <w:rPr>
          <w:noProof/>
        </w:rPr>
        <w:drawing>
          <wp:inline distT="0" distB="0" distL="0" distR="0" wp14:anchorId="0ED542D1" wp14:editId="2670F55D">
            <wp:extent cx="5013960" cy="545592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13960" cy="5455920"/>
                    </a:xfrm>
                    <a:prstGeom prst="rect">
                      <a:avLst/>
                    </a:prstGeom>
                    <a:noFill/>
                    <a:ln>
                      <a:noFill/>
                    </a:ln>
                  </pic:spPr>
                </pic:pic>
              </a:graphicData>
            </a:graphic>
          </wp:inline>
        </w:drawing>
      </w:r>
    </w:p>
    <w:p w:rsidR="0016251E" w:rsidRPr="00764729" w:rsidRDefault="0016251E" w:rsidP="0016251E">
      <w:pPr>
        <w:jc w:val="center"/>
      </w:pPr>
    </w:p>
    <w:p w:rsidR="00EB3DCF" w:rsidRPr="00086C74" w:rsidRDefault="00333077" w:rsidP="00333077">
      <w:pPr>
        <w:pStyle w:val="Heading1"/>
      </w:pPr>
      <w:r>
        <w:br w:type="page"/>
      </w:r>
      <w:bookmarkStart w:id="94" w:name="_Toc415231767"/>
      <w:r w:rsidR="00EB3DCF">
        <w:lastRenderedPageBreak/>
        <w:t xml:space="preserve">Study Results – </w:t>
      </w:r>
      <w:r w:rsidR="007004A0" w:rsidRPr="007004A0">
        <w:rPr>
          <w:i/>
        </w:rPr>
        <w:t>Ex-post</w:t>
      </w:r>
      <w:r w:rsidR="00EB3DCF">
        <w:t xml:space="preserve"> Load Impacts for AMP </w:t>
      </w:r>
      <w:r w:rsidR="00812FD3">
        <w:t>Programs</w:t>
      </w:r>
      <w:bookmarkEnd w:id="94"/>
    </w:p>
    <w:p w:rsidR="00EB3DCF" w:rsidRPr="006C0321" w:rsidRDefault="004A5603" w:rsidP="00C77A7B">
      <w:pPr>
        <w:keepNext/>
        <w:keepLines/>
      </w:pPr>
      <w:r>
        <w:t xml:space="preserve">This section summarizes </w:t>
      </w:r>
      <w:r w:rsidR="00B74B13" w:rsidRPr="00B74B13">
        <w:rPr>
          <w:i/>
        </w:rPr>
        <w:t>ex-post</w:t>
      </w:r>
      <w:r>
        <w:t xml:space="preserve"> load impacts for </w:t>
      </w:r>
      <w:r w:rsidR="00DC671B">
        <w:t xml:space="preserve">the </w:t>
      </w:r>
      <w:r>
        <w:t xml:space="preserve">PG&amp;E and SCE contract-based </w:t>
      </w:r>
      <w:r w:rsidR="001F6B12">
        <w:t xml:space="preserve">AMP </w:t>
      </w:r>
      <w:r>
        <w:t>programs</w:t>
      </w:r>
      <w:r w:rsidR="00EB3DCF">
        <w:t>.</w:t>
      </w:r>
    </w:p>
    <w:p w:rsidR="006E26AE" w:rsidRDefault="001F33E7" w:rsidP="00C77A7B">
      <w:pPr>
        <w:pStyle w:val="Heading2"/>
        <w:keepLines/>
      </w:pPr>
      <w:bookmarkStart w:id="95" w:name="_Toc415231768"/>
      <w:r>
        <w:t>5.1</w:t>
      </w:r>
      <w:r w:rsidR="00F22D50">
        <w:t xml:space="preserve"> PG&amp;E Aggregator Managed Portfolio (</w:t>
      </w:r>
      <w:r w:rsidR="00F22D50" w:rsidRPr="00B0448F">
        <w:t>AMP</w:t>
      </w:r>
      <w:r w:rsidR="00F22D50">
        <w:t>)</w:t>
      </w:r>
      <w:bookmarkEnd w:id="95"/>
    </w:p>
    <w:p w:rsidR="007E2E42" w:rsidRDefault="001F33E7" w:rsidP="00C77A7B">
      <w:pPr>
        <w:pStyle w:val="Heading3"/>
        <w:keepLines/>
        <w:rPr>
          <w:sz w:val="22"/>
        </w:rPr>
      </w:pPr>
      <w:bookmarkStart w:id="96" w:name="_Toc415231769"/>
      <w:r>
        <w:rPr>
          <w:sz w:val="22"/>
        </w:rPr>
        <w:t>5</w:t>
      </w:r>
      <w:r w:rsidR="007E2E42" w:rsidRPr="007D59C2">
        <w:rPr>
          <w:sz w:val="22"/>
        </w:rPr>
        <w:t>.</w:t>
      </w:r>
      <w:r>
        <w:rPr>
          <w:sz w:val="22"/>
        </w:rPr>
        <w:t>1</w:t>
      </w:r>
      <w:r w:rsidR="007E2E42" w:rsidRPr="007D59C2">
        <w:rPr>
          <w:sz w:val="22"/>
        </w:rPr>
        <w:t xml:space="preserve">.1 </w:t>
      </w:r>
      <w:r w:rsidR="007E2E42">
        <w:rPr>
          <w:sz w:val="22"/>
        </w:rPr>
        <w:t>Event Characteristics for PG&amp;E AMP</w:t>
      </w:r>
      <w:bookmarkEnd w:id="96"/>
    </w:p>
    <w:p w:rsidR="006E26AE" w:rsidRPr="006E26AE" w:rsidRDefault="006E26AE" w:rsidP="006047F1">
      <w:r w:rsidRPr="006E26AE">
        <w:t xml:space="preserve">Table </w:t>
      </w:r>
      <w:r>
        <w:t>5</w:t>
      </w:r>
      <w:r w:rsidR="00DB5F6E">
        <w:t>–</w:t>
      </w:r>
      <w:r>
        <w:t xml:space="preserve">1 summarizes features of </w:t>
      </w:r>
      <w:r w:rsidR="005C62B3">
        <w:t>PG&amp;E’s</w:t>
      </w:r>
      <w:r>
        <w:t xml:space="preserve"> AMP DA and DO events in </w:t>
      </w:r>
      <w:r w:rsidR="007A67BB">
        <w:t>2014</w:t>
      </w:r>
      <w:r>
        <w:t>.</w:t>
      </w:r>
      <w:r w:rsidR="00BD1E2B">
        <w:t xml:space="preserve"> </w:t>
      </w:r>
      <w:r w:rsidR="006047F1">
        <w:t xml:space="preserve">Similarly to CBP, </w:t>
      </w:r>
      <w:r w:rsidR="005C62B3">
        <w:t xml:space="preserve">shading indicates typical events, which are </w:t>
      </w:r>
      <w:r w:rsidR="006047F1">
        <w:t xml:space="preserve">system-wide events </w:t>
      </w:r>
      <w:r w:rsidR="005C62B3">
        <w:t>occurring in hours ending 16 to 19</w:t>
      </w:r>
      <w:r w:rsidR="006047F1">
        <w:t xml:space="preserve">. A number of localized events were called for only some SubLaps. </w:t>
      </w:r>
    </w:p>
    <w:p w:rsidR="007E2E42" w:rsidRDefault="007E2E42" w:rsidP="00C77A7B">
      <w:pPr>
        <w:keepNext/>
        <w:keepLines/>
      </w:pPr>
    </w:p>
    <w:p w:rsidR="007E2E42" w:rsidRPr="00401B10" w:rsidRDefault="007E2E42" w:rsidP="009F3DC3">
      <w:pPr>
        <w:pStyle w:val="TableCaption"/>
        <w:keepLines/>
      </w:pPr>
      <w:bookmarkStart w:id="97" w:name="_Toc414545904"/>
      <w:r w:rsidRPr="00401B10">
        <w:t xml:space="preserve">Table </w:t>
      </w:r>
      <w:r w:rsidR="001F33E7">
        <w:t>5</w:t>
      </w:r>
      <w:r w:rsidR="0088207A">
        <w:t>–</w:t>
      </w:r>
      <w:r>
        <w:t>1</w:t>
      </w:r>
      <w:r w:rsidRPr="00401B10">
        <w:t xml:space="preserve">: </w:t>
      </w:r>
      <w:r>
        <w:t xml:space="preserve">Event Summary for </w:t>
      </w:r>
      <w:r w:rsidR="007A67BB">
        <w:t>2014</w:t>
      </w:r>
      <w:r w:rsidRPr="00401B10">
        <w:t xml:space="preserve"> – </w:t>
      </w:r>
      <w:r>
        <w:rPr>
          <w:i/>
        </w:rPr>
        <w:t>PG&amp;E AM</w:t>
      </w:r>
      <w:r w:rsidRPr="00401B10">
        <w:rPr>
          <w:i/>
        </w:rPr>
        <w:t>P</w:t>
      </w:r>
      <w:bookmarkEnd w:id="97"/>
    </w:p>
    <w:p w:rsidR="007E2E42" w:rsidRPr="00A5241F" w:rsidRDefault="0084239A" w:rsidP="009F3DC3">
      <w:pPr>
        <w:keepNext/>
        <w:keepLines/>
        <w:jc w:val="center"/>
      </w:pPr>
      <w:r w:rsidRPr="0084239A">
        <w:rPr>
          <w:noProof/>
        </w:rPr>
        <w:drawing>
          <wp:inline distT="0" distB="0" distL="0" distR="0" wp14:anchorId="5681B56B" wp14:editId="4919B265">
            <wp:extent cx="4785360" cy="659130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85360" cy="6591300"/>
                    </a:xfrm>
                    <a:prstGeom prst="rect">
                      <a:avLst/>
                    </a:prstGeom>
                    <a:noFill/>
                    <a:ln>
                      <a:noFill/>
                    </a:ln>
                  </pic:spPr>
                </pic:pic>
              </a:graphicData>
            </a:graphic>
          </wp:inline>
        </w:drawing>
      </w:r>
    </w:p>
    <w:p w:rsidR="007E2E42" w:rsidRDefault="007E2E42" w:rsidP="007E2E42"/>
    <w:p w:rsidR="009F3DC3" w:rsidRDefault="009F3DC3">
      <w:pPr>
        <w:rPr>
          <w:rFonts w:cs="Arial"/>
          <w:bCs/>
          <w:i/>
          <w:sz w:val="22"/>
          <w:szCs w:val="26"/>
        </w:rPr>
      </w:pPr>
      <w:r>
        <w:rPr>
          <w:sz w:val="22"/>
        </w:rPr>
        <w:br w:type="page"/>
      </w:r>
    </w:p>
    <w:p w:rsidR="007D59C2" w:rsidRPr="007D59C2" w:rsidRDefault="001F33E7" w:rsidP="009F3DC3">
      <w:pPr>
        <w:pStyle w:val="Heading3"/>
        <w:keepNext w:val="0"/>
        <w:rPr>
          <w:sz w:val="22"/>
        </w:rPr>
      </w:pPr>
      <w:bookmarkStart w:id="98" w:name="_Toc415231770"/>
      <w:r>
        <w:rPr>
          <w:sz w:val="22"/>
        </w:rPr>
        <w:lastRenderedPageBreak/>
        <w:t>5</w:t>
      </w:r>
      <w:r w:rsidR="007D59C2" w:rsidRPr="007D59C2">
        <w:rPr>
          <w:sz w:val="22"/>
        </w:rPr>
        <w:t>.</w:t>
      </w:r>
      <w:r>
        <w:rPr>
          <w:sz w:val="22"/>
        </w:rPr>
        <w:t>1</w:t>
      </w:r>
      <w:r w:rsidR="007D59C2" w:rsidRPr="007D59C2">
        <w:rPr>
          <w:sz w:val="22"/>
        </w:rPr>
        <w:t>.</w:t>
      </w:r>
      <w:r>
        <w:rPr>
          <w:sz w:val="22"/>
        </w:rPr>
        <w:t>2</w:t>
      </w:r>
      <w:r w:rsidR="007D59C2" w:rsidRPr="007D59C2">
        <w:rPr>
          <w:sz w:val="22"/>
        </w:rPr>
        <w:t xml:space="preserve"> Summary load impacts</w:t>
      </w:r>
      <w:bookmarkEnd w:id="98"/>
    </w:p>
    <w:p w:rsidR="005928FF" w:rsidRPr="00401B10" w:rsidRDefault="005928FF" w:rsidP="009F3DC3">
      <w:pPr>
        <w:spacing w:before="240"/>
      </w:pPr>
      <w:r w:rsidRPr="00401B10">
        <w:t xml:space="preserve">Table </w:t>
      </w:r>
      <w:r w:rsidR="001F33E7">
        <w:t>5</w:t>
      </w:r>
      <w:r w:rsidRPr="00401B10">
        <w:t>–</w:t>
      </w:r>
      <w:r w:rsidR="001F33E7">
        <w:t>2</w:t>
      </w:r>
      <w:r w:rsidRPr="00401B10">
        <w:t xml:space="preserve"> show</w:t>
      </w:r>
      <w:r w:rsidR="001F33E7">
        <w:t>s</w:t>
      </w:r>
      <w:r w:rsidRPr="00401B10">
        <w:t xml:space="preserve"> </w:t>
      </w:r>
      <w:r w:rsidR="005C7A57">
        <w:t>average event-hour</w:t>
      </w:r>
      <w:r w:rsidRPr="00401B10">
        <w:t xml:space="preserve"> estimated </w:t>
      </w:r>
      <w:r w:rsidRPr="00401B10">
        <w:rPr>
          <w:i/>
        </w:rPr>
        <w:t>reference load</w:t>
      </w:r>
      <w:r w:rsidRPr="00401B10">
        <w:t xml:space="preserve">, </w:t>
      </w:r>
      <w:r w:rsidRPr="00401B10">
        <w:rPr>
          <w:i/>
        </w:rPr>
        <w:t>observed load</w:t>
      </w:r>
      <w:r w:rsidRPr="00401B10">
        <w:t xml:space="preserve">, </w:t>
      </w:r>
      <w:r w:rsidRPr="00401B10">
        <w:rPr>
          <w:i/>
        </w:rPr>
        <w:t>load impacts</w:t>
      </w:r>
      <w:r w:rsidRPr="00401B10">
        <w:t xml:space="preserve"> and </w:t>
      </w:r>
      <w:r w:rsidRPr="00401B10">
        <w:rPr>
          <w:i/>
        </w:rPr>
        <w:t>percentage load impacts</w:t>
      </w:r>
      <w:r w:rsidRPr="00401B10">
        <w:t xml:space="preserve"> for the DA and DO </w:t>
      </w:r>
      <w:r>
        <w:t xml:space="preserve">notice and associated </w:t>
      </w:r>
      <w:r w:rsidRPr="00401B10">
        <w:t xml:space="preserve">product types, for each of </w:t>
      </w:r>
      <w:r>
        <w:t>PG&amp;</w:t>
      </w:r>
      <w:r w:rsidRPr="00401B10">
        <w:t>E</w:t>
      </w:r>
      <w:r w:rsidR="002961ED">
        <w:t>’</w:t>
      </w:r>
      <w:r w:rsidRPr="00401B10">
        <w:t xml:space="preserve">s </w:t>
      </w:r>
      <w:r>
        <w:t>AM</w:t>
      </w:r>
      <w:r w:rsidRPr="00401B10">
        <w:t xml:space="preserve">P events, and for </w:t>
      </w:r>
      <w:r w:rsidR="004869F7">
        <w:t xml:space="preserve">the </w:t>
      </w:r>
      <w:r w:rsidRPr="00401B10">
        <w:t xml:space="preserve">average across each of the respective </w:t>
      </w:r>
      <w:r w:rsidR="004869F7">
        <w:t xml:space="preserve">typical </w:t>
      </w:r>
      <w:r w:rsidRPr="00401B10">
        <w:t>events</w:t>
      </w:r>
      <w:r w:rsidR="004869F7">
        <w:t xml:space="preserve"> (</w:t>
      </w:r>
      <w:r w:rsidR="004869F7">
        <w:rPr>
          <w:i/>
        </w:rPr>
        <w:t>i.e.</w:t>
      </w:r>
      <w:r w:rsidR="004869F7">
        <w:t>, those for which all aggregators were called)</w:t>
      </w:r>
      <w:r>
        <w:t>.</w:t>
      </w:r>
      <w:r w:rsidR="00C00AEA">
        <w:rPr>
          <w:rStyle w:val="FootnoteReference"/>
        </w:rPr>
        <w:footnoteReference w:id="14"/>
      </w:r>
      <w:r>
        <w:t xml:space="preserve"> </w:t>
      </w:r>
      <w:r w:rsidRPr="00401B10">
        <w:t xml:space="preserve">The </w:t>
      </w:r>
      <w:r w:rsidR="005C7A57">
        <w:t>average event-hour</w:t>
      </w:r>
      <w:r w:rsidRPr="00401B10">
        <w:t xml:space="preserve"> DO load impact</w:t>
      </w:r>
      <w:r w:rsidR="00030F3E">
        <w:t>s</w:t>
      </w:r>
      <w:r w:rsidRPr="00401B10">
        <w:t xml:space="preserve"> averaged </w:t>
      </w:r>
      <w:r w:rsidR="00031C3C">
        <w:t>74</w:t>
      </w:r>
      <w:r w:rsidR="004869F7">
        <w:t>.</w:t>
      </w:r>
      <w:r w:rsidR="00031C3C">
        <w:t>1</w:t>
      </w:r>
      <w:r w:rsidRPr="00401B10">
        <w:t xml:space="preserve"> MW</w:t>
      </w:r>
      <w:r>
        <w:t xml:space="preserve"> for the </w:t>
      </w:r>
      <w:r w:rsidR="004869F7">
        <w:t xml:space="preserve">Local </w:t>
      </w:r>
      <w:r>
        <w:t xml:space="preserve">product, and </w:t>
      </w:r>
      <w:r w:rsidR="00031C3C">
        <w:t>48</w:t>
      </w:r>
      <w:r w:rsidR="004869F7">
        <w:t>.</w:t>
      </w:r>
      <w:r w:rsidR="00031C3C">
        <w:t>6</w:t>
      </w:r>
      <w:r>
        <w:t xml:space="preserve"> MW for the </w:t>
      </w:r>
      <w:r w:rsidR="004869F7">
        <w:t>System</w:t>
      </w:r>
      <w:r>
        <w:t xml:space="preserve"> product</w:t>
      </w:r>
      <w:r w:rsidRPr="00401B10">
        <w:t xml:space="preserve">. </w:t>
      </w:r>
      <w:r w:rsidR="00333077">
        <w:t xml:space="preserve">These </w:t>
      </w:r>
      <w:r>
        <w:t xml:space="preserve">load impacts </w:t>
      </w:r>
      <w:r w:rsidR="00333077">
        <w:t xml:space="preserve">represented </w:t>
      </w:r>
      <w:r w:rsidR="00031C3C">
        <w:t xml:space="preserve">25 to 27 </w:t>
      </w:r>
      <w:r>
        <w:t>percent for the two DO product types.</w:t>
      </w:r>
      <w:r w:rsidRPr="00401B10">
        <w:t xml:space="preserve"> </w:t>
      </w:r>
      <w:r w:rsidR="00030F3E">
        <w:t>The DA load impacts are redacted to protect individual aggregator data.</w:t>
      </w:r>
    </w:p>
    <w:p w:rsidR="007D59C2" w:rsidRDefault="007D59C2" w:rsidP="00F22D50"/>
    <w:p w:rsidR="005928FF" w:rsidRPr="00401B10" w:rsidRDefault="005928FF" w:rsidP="00DB5F6E">
      <w:pPr>
        <w:pStyle w:val="TableCaption"/>
      </w:pPr>
      <w:bookmarkStart w:id="99" w:name="_Toc414545905"/>
      <w:r w:rsidRPr="00401B10">
        <w:lastRenderedPageBreak/>
        <w:t xml:space="preserve">Table </w:t>
      </w:r>
      <w:r w:rsidR="001F33E7">
        <w:t>5</w:t>
      </w:r>
      <w:r w:rsidR="0088207A">
        <w:t>–</w:t>
      </w:r>
      <w:r w:rsidR="001F33E7">
        <w:t>2</w:t>
      </w:r>
      <w:r w:rsidRPr="00401B10">
        <w:t xml:space="preserve">: </w:t>
      </w:r>
      <w:r w:rsidR="005C7A57">
        <w:t xml:space="preserve">Average </w:t>
      </w:r>
      <w:r w:rsidR="005C7A57" w:rsidRPr="005C7A57">
        <w:t>Event-Hour</w:t>
      </w:r>
      <w:r w:rsidRPr="00401B10">
        <w:t xml:space="preserve"> Load Impacts by Event – </w:t>
      </w:r>
      <w:r>
        <w:rPr>
          <w:i/>
        </w:rPr>
        <w:t>PG&amp;E</w:t>
      </w:r>
      <w:r w:rsidRPr="00401B10">
        <w:rPr>
          <w:i/>
        </w:rPr>
        <w:t xml:space="preserve"> </w:t>
      </w:r>
      <w:r>
        <w:rPr>
          <w:i/>
        </w:rPr>
        <w:t>AM</w:t>
      </w:r>
      <w:r w:rsidRPr="00401B10">
        <w:rPr>
          <w:i/>
        </w:rPr>
        <w:t>P</w:t>
      </w:r>
      <w:bookmarkEnd w:id="99"/>
    </w:p>
    <w:p w:rsidR="00F22D50" w:rsidRPr="003911DA" w:rsidRDefault="00C00AEA" w:rsidP="00F22D50">
      <w:r w:rsidRPr="00C00AEA">
        <w:rPr>
          <w:noProof/>
        </w:rPr>
        <w:drawing>
          <wp:inline distT="0" distB="0" distL="0" distR="0" wp14:anchorId="490305F9" wp14:editId="1408F47B">
            <wp:extent cx="5486400" cy="6532644"/>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6532644"/>
                    </a:xfrm>
                    <a:prstGeom prst="rect">
                      <a:avLst/>
                    </a:prstGeom>
                    <a:noFill/>
                    <a:ln>
                      <a:noFill/>
                    </a:ln>
                  </pic:spPr>
                </pic:pic>
              </a:graphicData>
            </a:graphic>
          </wp:inline>
        </w:drawing>
      </w:r>
    </w:p>
    <w:p w:rsidR="005C62B3" w:rsidRDefault="005C62B3" w:rsidP="004977D0">
      <w:pPr>
        <w:keepNext/>
      </w:pPr>
    </w:p>
    <w:p w:rsidR="001F33E7" w:rsidRDefault="001F33E7" w:rsidP="004977D0">
      <w:pPr>
        <w:keepNext/>
      </w:pPr>
      <w:r w:rsidRPr="00401B10">
        <w:t>Ta</w:t>
      </w:r>
      <w:r>
        <w:t>ble 5</w:t>
      </w:r>
      <w:r w:rsidR="00DB5F6E">
        <w:t>–</w:t>
      </w:r>
      <w:r>
        <w:t xml:space="preserve">3 shows the distribution of </w:t>
      </w:r>
      <w:r w:rsidR="005C7A57">
        <w:t>average event-hour</w:t>
      </w:r>
      <w:r>
        <w:t xml:space="preserve"> load impacts for the average </w:t>
      </w:r>
      <w:r w:rsidR="006E26AE">
        <w:t xml:space="preserve">AMP DA and DO </w:t>
      </w:r>
      <w:r>
        <w:t xml:space="preserve">event by industry type. </w:t>
      </w:r>
      <w:r w:rsidR="006E26AE">
        <w:t xml:space="preserve">DA load impacts were concentrated largely in </w:t>
      </w:r>
      <w:r w:rsidR="006E26AE">
        <w:lastRenderedPageBreak/>
        <w:t>the Manufacturing industry type. DO load impacts were spread across several industry types.</w:t>
      </w:r>
    </w:p>
    <w:p w:rsidR="001F33E7" w:rsidRDefault="001F33E7" w:rsidP="004977D0">
      <w:pPr>
        <w:keepNext/>
      </w:pPr>
    </w:p>
    <w:p w:rsidR="001F33E7" w:rsidRPr="00401B10" w:rsidRDefault="001F33E7" w:rsidP="004977D0">
      <w:pPr>
        <w:pStyle w:val="TableCaption"/>
      </w:pPr>
      <w:bookmarkStart w:id="100" w:name="_Toc414545906"/>
      <w:r w:rsidRPr="00401B10">
        <w:t xml:space="preserve">Table </w:t>
      </w:r>
      <w:r>
        <w:t>5</w:t>
      </w:r>
      <w:r w:rsidR="0088207A">
        <w:t>–</w:t>
      </w:r>
      <w:r>
        <w:t>3</w:t>
      </w:r>
      <w:r w:rsidRPr="00401B10">
        <w:t xml:space="preserve">: </w:t>
      </w:r>
      <w:r>
        <w:t xml:space="preserve">Distribution of </w:t>
      </w:r>
      <w:r w:rsidR="005C7A57">
        <w:t xml:space="preserve">Average </w:t>
      </w:r>
      <w:r w:rsidR="005C7A57" w:rsidRPr="005C7A57">
        <w:t>Event-Hour</w:t>
      </w:r>
      <w:r w:rsidRPr="00401B10">
        <w:t xml:space="preserve"> Load Impacts by </w:t>
      </w:r>
      <w:r>
        <w:t>Industry Type</w:t>
      </w:r>
      <w:r w:rsidRPr="00401B10">
        <w:t xml:space="preserve"> – </w:t>
      </w:r>
      <w:r w:rsidRPr="00401B10">
        <w:rPr>
          <w:i/>
        </w:rPr>
        <w:t xml:space="preserve">PG&amp;E </w:t>
      </w:r>
      <w:r>
        <w:rPr>
          <w:i/>
        </w:rPr>
        <w:t>AMP</w:t>
      </w:r>
      <w:bookmarkEnd w:id="100"/>
    </w:p>
    <w:p w:rsidR="001F33E7" w:rsidRPr="00BD24B3" w:rsidRDefault="0061514C" w:rsidP="004977D0">
      <w:pPr>
        <w:keepNext/>
      </w:pPr>
      <w:r w:rsidRPr="0061514C">
        <w:rPr>
          <w:noProof/>
        </w:rPr>
        <w:drawing>
          <wp:inline distT="0" distB="0" distL="0" distR="0">
            <wp:extent cx="5486400" cy="332266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486400" cy="3322662"/>
                    </a:xfrm>
                    <a:prstGeom prst="rect">
                      <a:avLst/>
                    </a:prstGeom>
                    <a:noFill/>
                    <a:ln>
                      <a:noFill/>
                    </a:ln>
                  </pic:spPr>
                </pic:pic>
              </a:graphicData>
            </a:graphic>
          </wp:inline>
        </w:drawing>
      </w:r>
    </w:p>
    <w:p w:rsidR="001F33E7" w:rsidRDefault="001F33E7" w:rsidP="001F33E7"/>
    <w:p w:rsidR="004977D0" w:rsidRDefault="004977D0" w:rsidP="001F33E7"/>
    <w:p w:rsidR="001F33E7" w:rsidRDefault="00DB5F6E" w:rsidP="004977D0">
      <w:pPr>
        <w:keepNext/>
      </w:pPr>
      <w:r>
        <w:lastRenderedPageBreak/>
        <w:t>Table 5–</w:t>
      </w:r>
      <w:r w:rsidR="001F33E7">
        <w:t xml:space="preserve">4 shows the distribution of </w:t>
      </w:r>
      <w:r w:rsidR="006E26AE">
        <w:t xml:space="preserve">AMP </w:t>
      </w:r>
      <w:r w:rsidR="005C7A57">
        <w:t>average event-hour</w:t>
      </w:r>
      <w:r w:rsidR="001F33E7">
        <w:t xml:space="preserve"> load impacts by LCA.</w:t>
      </w:r>
      <w:r w:rsidR="006E26AE">
        <w:t xml:space="preserve"> The majority of DA load impacts occurred outside of any of the LCAs, while DO load impacts were spread across a number of LCAs. </w:t>
      </w:r>
    </w:p>
    <w:p w:rsidR="001F33E7" w:rsidRDefault="001F33E7" w:rsidP="004977D0">
      <w:pPr>
        <w:keepNext/>
      </w:pPr>
    </w:p>
    <w:p w:rsidR="001F33E7" w:rsidRPr="00401B10" w:rsidRDefault="001F33E7" w:rsidP="004977D0">
      <w:pPr>
        <w:pStyle w:val="TableCaption"/>
      </w:pPr>
      <w:bookmarkStart w:id="101" w:name="_Toc414545907"/>
      <w:r w:rsidRPr="00401B10">
        <w:t xml:space="preserve">Table </w:t>
      </w:r>
      <w:r>
        <w:t>5</w:t>
      </w:r>
      <w:r w:rsidR="0088207A">
        <w:t>–</w:t>
      </w:r>
      <w:r>
        <w:t>4</w:t>
      </w:r>
      <w:r w:rsidRPr="00401B10">
        <w:t xml:space="preserve">: </w:t>
      </w:r>
      <w:r>
        <w:t xml:space="preserve">Distribution of </w:t>
      </w:r>
      <w:r w:rsidR="005C7A57">
        <w:t xml:space="preserve">Average </w:t>
      </w:r>
      <w:r w:rsidR="005C7A57" w:rsidRPr="005C7A57">
        <w:t>Event-Hour</w:t>
      </w:r>
      <w:r w:rsidRPr="00401B10">
        <w:t xml:space="preserve"> Load Impacts by </w:t>
      </w:r>
      <w:r>
        <w:t>LCA</w:t>
      </w:r>
      <w:r w:rsidRPr="00401B10">
        <w:t xml:space="preserve"> – </w:t>
      </w:r>
      <w:r w:rsidRPr="00401B10">
        <w:rPr>
          <w:i/>
        </w:rPr>
        <w:t xml:space="preserve">PG&amp;E </w:t>
      </w:r>
      <w:r>
        <w:rPr>
          <w:i/>
        </w:rPr>
        <w:t>AMP</w:t>
      </w:r>
      <w:bookmarkEnd w:id="101"/>
    </w:p>
    <w:p w:rsidR="004802FD" w:rsidRPr="00BD24B3" w:rsidRDefault="0061514C" w:rsidP="004802FD">
      <w:pPr>
        <w:keepNext/>
        <w:jc w:val="center"/>
      </w:pPr>
      <w:r w:rsidRPr="0061514C">
        <w:rPr>
          <w:noProof/>
        </w:rPr>
        <w:drawing>
          <wp:inline distT="0" distB="0" distL="0" distR="0">
            <wp:extent cx="5486400" cy="3885900"/>
            <wp:effectExtent l="0" t="0" r="0" b="63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486400" cy="3885900"/>
                    </a:xfrm>
                    <a:prstGeom prst="rect">
                      <a:avLst/>
                    </a:prstGeom>
                    <a:noFill/>
                    <a:ln>
                      <a:noFill/>
                    </a:ln>
                  </pic:spPr>
                </pic:pic>
              </a:graphicData>
            </a:graphic>
          </wp:inline>
        </w:drawing>
      </w:r>
    </w:p>
    <w:p w:rsidR="005928FF" w:rsidRDefault="005928FF" w:rsidP="00F22D50"/>
    <w:p w:rsidR="009C0310" w:rsidRPr="007D59C2" w:rsidRDefault="009C0310" w:rsidP="009C0310">
      <w:pPr>
        <w:pStyle w:val="Heading3"/>
        <w:rPr>
          <w:sz w:val="22"/>
          <w:szCs w:val="22"/>
        </w:rPr>
      </w:pPr>
      <w:bookmarkStart w:id="102" w:name="_Toc415231771"/>
      <w:r>
        <w:rPr>
          <w:sz w:val="22"/>
          <w:szCs w:val="22"/>
        </w:rPr>
        <w:t>5</w:t>
      </w:r>
      <w:r w:rsidRPr="007D59C2">
        <w:rPr>
          <w:sz w:val="22"/>
          <w:szCs w:val="22"/>
        </w:rPr>
        <w:t>.</w:t>
      </w:r>
      <w:r>
        <w:rPr>
          <w:sz w:val="22"/>
          <w:szCs w:val="22"/>
        </w:rPr>
        <w:t>1</w:t>
      </w:r>
      <w:r w:rsidRPr="007D59C2">
        <w:rPr>
          <w:sz w:val="22"/>
          <w:szCs w:val="22"/>
        </w:rPr>
        <w:t>.</w:t>
      </w:r>
      <w:r>
        <w:rPr>
          <w:sz w:val="22"/>
          <w:szCs w:val="22"/>
        </w:rPr>
        <w:t>3</w:t>
      </w:r>
      <w:r w:rsidRPr="007D59C2">
        <w:rPr>
          <w:sz w:val="22"/>
          <w:szCs w:val="22"/>
        </w:rPr>
        <w:t xml:space="preserve"> </w:t>
      </w:r>
      <w:r>
        <w:rPr>
          <w:sz w:val="22"/>
          <w:szCs w:val="22"/>
        </w:rPr>
        <w:t>Hourl</w:t>
      </w:r>
      <w:r w:rsidRPr="007D59C2">
        <w:rPr>
          <w:sz w:val="22"/>
          <w:szCs w:val="22"/>
        </w:rPr>
        <w:t>y load impacts</w:t>
      </w:r>
      <w:bookmarkEnd w:id="102"/>
    </w:p>
    <w:p w:rsidR="00A73D67" w:rsidRDefault="00A73D67" w:rsidP="00A73D67">
      <w:r w:rsidRPr="00211752">
        <w:t>Figures</w:t>
      </w:r>
      <w:r>
        <w:t xml:space="preserve"> 5</w:t>
      </w:r>
      <w:r w:rsidR="00DB5F6E">
        <w:t>–</w:t>
      </w:r>
      <w:r>
        <w:t>1 and 5</w:t>
      </w:r>
      <w:r w:rsidR="00DB5F6E">
        <w:t>–</w:t>
      </w:r>
      <w:r>
        <w:t xml:space="preserve">2 illustrate the hourly profiles of the estimated reference load, observed load and estimated load impacts (in MW) of the PG&amp;E AMP DA </w:t>
      </w:r>
      <w:r w:rsidR="00F4505B">
        <w:t>Local</w:t>
      </w:r>
      <w:r>
        <w:t xml:space="preserve"> and DO </w:t>
      </w:r>
      <w:r w:rsidR="00F4505B">
        <w:t>Local</w:t>
      </w:r>
      <w:r>
        <w:t xml:space="preserve"> product types for the </w:t>
      </w:r>
      <w:r w:rsidR="00B85104">
        <w:t xml:space="preserve">four-hour </w:t>
      </w:r>
      <w:r w:rsidR="00F4505B">
        <w:t>July 2</w:t>
      </w:r>
      <w:r w:rsidR="00B85104">
        <w:t>9</w:t>
      </w:r>
      <w:r>
        <w:t xml:space="preserve"> event</w:t>
      </w:r>
      <w:r w:rsidR="00B85104">
        <w:t>, which was called for hours-ending 16 through</w:t>
      </w:r>
      <w:r w:rsidR="00F4505B">
        <w:t xml:space="preserve"> </w:t>
      </w:r>
      <w:r w:rsidR="00B85104">
        <w:t>19.</w:t>
      </w:r>
    </w:p>
    <w:p w:rsidR="009C0310" w:rsidRPr="003911DA" w:rsidRDefault="009C0310" w:rsidP="009C0310"/>
    <w:p w:rsidR="005928FF" w:rsidRDefault="009627D3" w:rsidP="00DB5F6E">
      <w:pPr>
        <w:pStyle w:val="FigureCaption"/>
      </w:pPr>
      <w:bookmarkStart w:id="103" w:name="_Toc412549194"/>
      <w:r w:rsidRPr="009627D3">
        <w:t xml:space="preserve">Figure </w:t>
      </w:r>
      <w:fldSimple w:instr=" STYLEREF 1 \s ">
        <w:r w:rsidR="004A7BE8">
          <w:rPr>
            <w:noProof/>
          </w:rPr>
          <w:t>5</w:t>
        </w:r>
      </w:fldSimple>
      <w:r w:rsidR="0088207A">
        <w:t>–</w:t>
      </w:r>
      <w:fldSimple w:instr=" SEQ Figure \* ARABIC \s 1 ">
        <w:r w:rsidR="004A7BE8">
          <w:rPr>
            <w:noProof/>
          </w:rPr>
          <w:t>1</w:t>
        </w:r>
      </w:fldSimple>
      <w:r w:rsidRPr="009627D3">
        <w:t>: Hourly Loads and Load Impacts – PG&amp;E AMP DA</w:t>
      </w:r>
      <w:r w:rsidR="00333077">
        <w:t xml:space="preserve"> </w:t>
      </w:r>
      <w:r w:rsidR="0073196A">
        <w:t>Local</w:t>
      </w:r>
      <w:r w:rsidR="00A5241F">
        <w:br/>
      </w:r>
      <w:r w:rsidR="0073196A">
        <w:rPr>
          <w:i/>
        </w:rPr>
        <w:t xml:space="preserve">July </w:t>
      </w:r>
      <w:r w:rsidR="00F4505B">
        <w:rPr>
          <w:i/>
        </w:rPr>
        <w:t>29</w:t>
      </w:r>
      <w:r w:rsidR="0073196A">
        <w:rPr>
          <w:i/>
        </w:rPr>
        <w:t xml:space="preserve">, </w:t>
      </w:r>
      <w:r w:rsidR="007A67BB">
        <w:rPr>
          <w:i/>
        </w:rPr>
        <w:t>2014</w:t>
      </w:r>
      <w:r w:rsidRPr="00A5241F">
        <w:rPr>
          <w:i/>
        </w:rPr>
        <w:t xml:space="preserve"> Event</w:t>
      </w:r>
      <w:bookmarkEnd w:id="103"/>
    </w:p>
    <w:p w:rsidR="009627D3" w:rsidRDefault="0061514C" w:rsidP="009627D3">
      <w:pPr>
        <w:jc w:val="center"/>
      </w:pPr>
      <w:r>
        <w:rPr>
          <w:noProof/>
        </w:rPr>
        <w:t>[Not available due to confidentiality restrictions.]</w:t>
      </w:r>
    </w:p>
    <w:p w:rsidR="00D05E1F" w:rsidRDefault="00D05E1F" w:rsidP="00DB5F6E">
      <w:pPr>
        <w:pStyle w:val="FigureCaption"/>
      </w:pPr>
      <w:bookmarkStart w:id="104" w:name="_Toc412549195"/>
      <w:r w:rsidRPr="009627D3">
        <w:lastRenderedPageBreak/>
        <w:t xml:space="preserve">Figure </w:t>
      </w:r>
      <w:fldSimple w:instr=" STYLEREF 1 \s ">
        <w:r w:rsidR="004A7BE8">
          <w:rPr>
            <w:noProof/>
          </w:rPr>
          <w:t>5</w:t>
        </w:r>
      </w:fldSimple>
      <w:r w:rsidR="0088207A">
        <w:t>–</w:t>
      </w:r>
      <w:r>
        <w:t>2</w:t>
      </w:r>
      <w:r w:rsidRPr="009627D3">
        <w:t>: Hourly Loads and Load Impacts – PG&amp;E AMP D</w:t>
      </w:r>
      <w:r>
        <w:t xml:space="preserve">O </w:t>
      </w:r>
      <w:r w:rsidR="00A95823">
        <w:t>Local</w:t>
      </w:r>
      <w:r w:rsidRPr="009627D3">
        <w:t xml:space="preserve"> </w:t>
      </w:r>
      <w:r w:rsidR="00A5241F">
        <w:br/>
      </w:r>
      <w:r w:rsidR="00A95823">
        <w:rPr>
          <w:i/>
        </w:rPr>
        <w:t xml:space="preserve">July </w:t>
      </w:r>
      <w:r w:rsidR="00F4505B">
        <w:rPr>
          <w:i/>
        </w:rPr>
        <w:t>29</w:t>
      </w:r>
      <w:r w:rsidR="00A95823">
        <w:rPr>
          <w:i/>
        </w:rPr>
        <w:t xml:space="preserve">, </w:t>
      </w:r>
      <w:r w:rsidR="007A67BB">
        <w:rPr>
          <w:i/>
        </w:rPr>
        <w:t>2014</w:t>
      </w:r>
      <w:r w:rsidR="00A5241F" w:rsidRPr="00A5241F">
        <w:rPr>
          <w:i/>
        </w:rPr>
        <w:t xml:space="preserve"> Event</w:t>
      </w:r>
      <w:bookmarkEnd w:id="104"/>
    </w:p>
    <w:p w:rsidR="00F93512" w:rsidRDefault="00F4505B" w:rsidP="009627D3">
      <w:pPr>
        <w:jc w:val="center"/>
      </w:pPr>
      <w:r w:rsidRPr="00F4505B">
        <w:rPr>
          <w:noProof/>
        </w:rPr>
        <w:drawing>
          <wp:inline distT="0" distB="0" distL="0" distR="0" wp14:anchorId="6AF316D7" wp14:editId="0AC016FE">
            <wp:extent cx="5230368" cy="3547872"/>
            <wp:effectExtent l="0" t="0" r="889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230368" cy="3547872"/>
                    </a:xfrm>
                    <a:prstGeom prst="rect">
                      <a:avLst/>
                    </a:prstGeom>
                    <a:noFill/>
                    <a:ln>
                      <a:noFill/>
                    </a:ln>
                  </pic:spPr>
                </pic:pic>
              </a:graphicData>
            </a:graphic>
          </wp:inline>
        </w:drawing>
      </w:r>
    </w:p>
    <w:p w:rsidR="00333077" w:rsidRDefault="00333077" w:rsidP="00333077">
      <w:pPr>
        <w:pStyle w:val="Heading3"/>
        <w:rPr>
          <w:sz w:val="22"/>
          <w:szCs w:val="22"/>
        </w:rPr>
      </w:pPr>
      <w:bookmarkStart w:id="105" w:name="_Toc415231772"/>
      <w:r w:rsidRPr="00F671E5">
        <w:rPr>
          <w:sz w:val="22"/>
          <w:szCs w:val="22"/>
        </w:rPr>
        <w:t>5.1.4 Load impacts of TA/TI and AutoDR participants</w:t>
      </w:r>
      <w:bookmarkEnd w:id="105"/>
    </w:p>
    <w:p w:rsidR="00333077" w:rsidRDefault="00333077" w:rsidP="00333077">
      <w:r>
        <w:t>Table 5</w:t>
      </w:r>
      <w:r w:rsidR="00D7314E">
        <w:t>–</w:t>
      </w:r>
      <w:r>
        <w:softHyphen/>
        <w:t xml:space="preserve">5 shows load impacts for TA/TI participants in </w:t>
      </w:r>
      <w:r w:rsidR="00547684">
        <w:t>AMP</w:t>
      </w:r>
      <w:r>
        <w:t>. A</w:t>
      </w:r>
      <w:r w:rsidR="00547684">
        <w:t xml:space="preserve">n average of </w:t>
      </w:r>
      <w:r w:rsidR="00EB7AF4">
        <w:t>7</w:t>
      </w:r>
      <w:r w:rsidR="00F671E5">
        <w:t xml:space="preserve"> DA and </w:t>
      </w:r>
      <w:r w:rsidR="00EB7AF4">
        <w:t>28</w:t>
      </w:r>
      <w:r w:rsidR="00F671E5">
        <w:t xml:space="preserve"> </w:t>
      </w:r>
      <w:r w:rsidR="00547684">
        <w:t xml:space="preserve"> </w:t>
      </w:r>
      <w:r w:rsidR="00F671E5">
        <w:t xml:space="preserve">DO </w:t>
      </w:r>
      <w:r>
        <w:t xml:space="preserve">TA/TI </w:t>
      </w:r>
      <w:r w:rsidR="00595F10">
        <w:t>service accounts</w:t>
      </w:r>
      <w:r>
        <w:t xml:space="preserve"> provided </w:t>
      </w:r>
      <w:r w:rsidR="00547684">
        <w:t>average</w:t>
      </w:r>
      <w:r w:rsidR="00F671E5">
        <w:t>s</w:t>
      </w:r>
      <w:r w:rsidR="00547684">
        <w:t xml:space="preserve"> of </w:t>
      </w:r>
      <w:r w:rsidR="00EB7AF4">
        <w:t>4</w:t>
      </w:r>
      <w:r w:rsidR="00547684">
        <w:t>.</w:t>
      </w:r>
      <w:r w:rsidR="00F671E5">
        <w:t>6</w:t>
      </w:r>
      <w:r>
        <w:t xml:space="preserve"> </w:t>
      </w:r>
      <w:r w:rsidR="00EB7AF4">
        <w:t>and 2</w:t>
      </w:r>
      <w:r w:rsidR="00F671E5">
        <w:t>.</w:t>
      </w:r>
      <w:r w:rsidR="00EB7AF4">
        <w:t>4</w:t>
      </w:r>
      <w:r w:rsidR="00F671E5">
        <w:t xml:space="preserve"> MW </w:t>
      </w:r>
      <w:r w:rsidR="00547684">
        <w:t>of load impacts</w:t>
      </w:r>
      <w:r w:rsidR="00F671E5">
        <w:t xml:space="preserve"> respectively</w:t>
      </w:r>
      <w:r>
        <w:t xml:space="preserve">, compared to approved </w:t>
      </w:r>
      <w:r w:rsidR="00014920">
        <w:t>load shed level</w:t>
      </w:r>
      <w:r w:rsidR="00F671E5">
        <w:t>s</w:t>
      </w:r>
      <w:r>
        <w:t xml:space="preserve"> of </w:t>
      </w:r>
      <w:r w:rsidR="00547684">
        <w:t>1</w:t>
      </w:r>
      <w:r w:rsidR="00EB7AF4">
        <w:t>1</w:t>
      </w:r>
      <w:r w:rsidR="00547684">
        <w:t>.</w:t>
      </w:r>
      <w:r w:rsidR="00EB7AF4">
        <w:t>2</w:t>
      </w:r>
      <w:r>
        <w:t xml:space="preserve"> </w:t>
      </w:r>
      <w:r w:rsidR="00F671E5">
        <w:t>and 1</w:t>
      </w:r>
      <w:r w:rsidR="00EB7AF4">
        <w:t>2</w:t>
      </w:r>
      <w:r w:rsidR="00F671E5">
        <w:t>.</w:t>
      </w:r>
      <w:r w:rsidR="00EB7AF4">
        <w:t>0</w:t>
      </w:r>
      <w:r w:rsidR="00F671E5">
        <w:t xml:space="preserve"> </w:t>
      </w:r>
      <w:r>
        <w:t>MW.</w:t>
      </w:r>
    </w:p>
    <w:p w:rsidR="00333077" w:rsidRDefault="00333077" w:rsidP="00333077"/>
    <w:p w:rsidR="00333077" w:rsidRPr="00401B10" w:rsidRDefault="00333077" w:rsidP="00333077">
      <w:pPr>
        <w:pStyle w:val="TableCaption"/>
      </w:pPr>
      <w:bookmarkStart w:id="106" w:name="_Toc414545908"/>
      <w:r w:rsidRPr="00401B10">
        <w:lastRenderedPageBreak/>
        <w:t xml:space="preserve">Table </w:t>
      </w:r>
      <w:r>
        <w:t>5–5</w:t>
      </w:r>
      <w:r w:rsidRPr="00401B10">
        <w:t xml:space="preserve">: Load Impacts </w:t>
      </w:r>
      <w:r>
        <w:t>of TA/TI Participants</w:t>
      </w:r>
      <w:r w:rsidRPr="00401B10">
        <w:t xml:space="preserve"> – </w:t>
      </w:r>
      <w:r>
        <w:rPr>
          <w:i/>
        </w:rPr>
        <w:t>PG&amp;</w:t>
      </w:r>
      <w:r w:rsidRPr="00401B10">
        <w:rPr>
          <w:i/>
        </w:rPr>
        <w:t xml:space="preserve">E </w:t>
      </w:r>
      <w:r>
        <w:rPr>
          <w:i/>
        </w:rPr>
        <w:t>AM</w:t>
      </w:r>
      <w:r w:rsidRPr="00401B10">
        <w:rPr>
          <w:i/>
        </w:rPr>
        <w:t>P</w:t>
      </w:r>
      <w:bookmarkEnd w:id="106"/>
    </w:p>
    <w:p w:rsidR="00F93512" w:rsidRDefault="0084239A" w:rsidP="00EB7AF4">
      <w:pPr>
        <w:jc w:val="center"/>
      </w:pPr>
      <w:r w:rsidRPr="0084239A">
        <w:rPr>
          <w:noProof/>
        </w:rPr>
        <w:drawing>
          <wp:inline distT="0" distB="0" distL="0" distR="0" wp14:anchorId="063EBC82" wp14:editId="2FD27D7A">
            <wp:extent cx="4945380" cy="5471160"/>
            <wp:effectExtent l="0" t="0" r="762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945380" cy="5471160"/>
                    </a:xfrm>
                    <a:prstGeom prst="rect">
                      <a:avLst/>
                    </a:prstGeom>
                    <a:noFill/>
                    <a:ln>
                      <a:noFill/>
                    </a:ln>
                  </pic:spPr>
                </pic:pic>
              </a:graphicData>
            </a:graphic>
          </wp:inline>
        </w:drawing>
      </w:r>
    </w:p>
    <w:p w:rsidR="00EB7AF4" w:rsidRDefault="00EB7AF4" w:rsidP="00F93512"/>
    <w:p w:rsidR="00333077" w:rsidRDefault="00547684" w:rsidP="00F93512">
      <w:r>
        <w:t>As shown in Table 5</w:t>
      </w:r>
      <w:r w:rsidR="00D7314E">
        <w:t>–</w:t>
      </w:r>
      <w:r>
        <w:softHyphen/>
        <w:t xml:space="preserve">6, </w:t>
      </w:r>
      <w:r w:rsidR="00EB7AF4">
        <w:t>12 DA and 45</w:t>
      </w:r>
      <w:r w:rsidR="00F671E5">
        <w:t xml:space="preserve"> DO </w:t>
      </w:r>
      <w:r>
        <w:t xml:space="preserve">AutoDR </w:t>
      </w:r>
      <w:r w:rsidR="00595F10">
        <w:t>service accounts</w:t>
      </w:r>
      <w:r>
        <w:t xml:space="preserve"> provided </w:t>
      </w:r>
      <w:r w:rsidR="00EB7AF4">
        <w:t>0</w:t>
      </w:r>
      <w:r>
        <w:t>.</w:t>
      </w:r>
      <w:r w:rsidR="00F671E5">
        <w:t>4</w:t>
      </w:r>
      <w:r>
        <w:t xml:space="preserve"> MW </w:t>
      </w:r>
      <w:r w:rsidR="00EB7AF4">
        <w:t xml:space="preserve">and 0.8 MW </w:t>
      </w:r>
      <w:r>
        <w:t xml:space="preserve">of load impacts, compared to </w:t>
      </w:r>
      <w:r w:rsidR="00EB7AF4">
        <w:t>0.6 and 7</w:t>
      </w:r>
      <w:r>
        <w:t>.</w:t>
      </w:r>
      <w:r w:rsidR="00F671E5">
        <w:t>4</w:t>
      </w:r>
      <w:r>
        <w:t xml:space="preserve"> MW of approved levels.</w:t>
      </w:r>
    </w:p>
    <w:p w:rsidR="00547684" w:rsidRDefault="00547684" w:rsidP="00F93512"/>
    <w:p w:rsidR="00333077" w:rsidRPr="00401B10" w:rsidRDefault="00333077" w:rsidP="00333077">
      <w:pPr>
        <w:pStyle w:val="TableCaption"/>
      </w:pPr>
      <w:bookmarkStart w:id="107" w:name="_Toc414545909"/>
      <w:r w:rsidRPr="00401B10">
        <w:lastRenderedPageBreak/>
        <w:t xml:space="preserve">Table </w:t>
      </w:r>
      <w:r>
        <w:t>5–6</w:t>
      </w:r>
      <w:r w:rsidRPr="00401B10">
        <w:t xml:space="preserve">: Load Impacts </w:t>
      </w:r>
      <w:r>
        <w:t>of AutoDR Participants</w:t>
      </w:r>
      <w:r w:rsidRPr="00401B10">
        <w:t xml:space="preserve"> – </w:t>
      </w:r>
      <w:r>
        <w:rPr>
          <w:i/>
        </w:rPr>
        <w:t>PG&amp;</w:t>
      </w:r>
      <w:r w:rsidRPr="00401B10">
        <w:rPr>
          <w:i/>
        </w:rPr>
        <w:t xml:space="preserve">E </w:t>
      </w:r>
      <w:r>
        <w:rPr>
          <w:i/>
        </w:rPr>
        <w:t>AM</w:t>
      </w:r>
      <w:r w:rsidRPr="00401B10">
        <w:rPr>
          <w:i/>
        </w:rPr>
        <w:t>P</w:t>
      </w:r>
      <w:bookmarkEnd w:id="107"/>
    </w:p>
    <w:p w:rsidR="00333077" w:rsidRDefault="0061514C" w:rsidP="00EB7AF4">
      <w:pPr>
        <w:jc w:val="center"/>
      </w:pPr>
      <w:r w:rsidRPr="0061514C">
        <w:rPr>
          <w:noProof/>
        </w:rPr>
        <w:drawing>
          <wp:inline distT="0" distB="0" distL="0" distR="0">
            <wp:extent cx="4945380" cy="5295900"/>
            <wp:effectExtent l="0" t="0" r="762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945380" cy="5295900"/>
                    </a:xfrm>
                    <a:prstGeom prst="rect">
                      <a:avLst/>
                    </a:prstGeom>
                    <a:noFill/>
                    <a:ln>
                      <a:noFill/>
                    </a:ln>
                  </pic:spPr>
                </pic:pic>
              </a:graphicData>
            </a:graphic>
          </wp:inline>
        </w:drawing>
      </w:r>
    </w:p>
    <w:p w:rsidR="00333077" w:rsidRPr="00D05E1F" w:rsidRDefault="00333077" w:rsidP="00F93512"/>
    <w:p w:rsidR="00F22D50" w:rsidRDefault="00014920" w:rsidP="00F22D50">
      <w:pPr>
        <w:pStyle w:val="Heading2"/>
      </w:pPr>
      <w:r>
        <w:br w:type="page"/>
      </w:r>
      <w:bookmarkStart w:id="108" w:name="_Toc415231773"/>
      <w:r w:rsidR="009C0310" w:rsidRPr="0047061F">
        <w:lastRenderedPageBreak/>
        <w:t>5</w:t>
      </w:r>
      <w:r w:rsidR="00F22D50" w:rsidRPr="0047061F">
        <w:t>.</w:t>
      </w:r>
      <w:r w:rsidR="009C0310" w:rsidRPr="0047061F">
        <w:t>2</w:t>
      </w:r>
      <w:r w:rsidR="00F22D50" w:rsidRPr="0047061F">
        <w:t xml:space="preserve"> SCE</w:t>
      </w:r>
      <w:r w:rsidR="002961ED" w:rsidRPr="0047061F">
        <w:t>’</w:t>
      </w:r>
      <w:r w:rsidR="00F22D50" w:rsidRPr="0047061F">
        <w:t xml:space="preserve">s </w:t>
      </w:r>
      <w:r w:rsidR="001F6B12" w:rsidRPr="0047061F">
        <w:t>AMP</w:t>
      </w:r>
      <w:bookmarkEnd w:id="108"/>
    </w:p>
    <w:p w:rsidR="007E2E42" w:rsidRDefault="009C0310" w:rsidP="007E2E42">
      <w:pPr>
        <w:pStyle w:val="Heading3"/>
        <w:rPr>
          <w:sz w:val="22"/>
        </w:rPr>
      </w:pPr>
      <w:bookmarkStart w:id="109" w:name="_Toc415231774"/>
      <w:r>
        <w:rPr>
          <w:sz w:val="22"/>
        </w:rPr>
        <w:t>5</w:t>
      </w:r>
      <w:r w:rsidR="007E2E42" w:rsidRPr="007D59C2">
        <w:rPr>
          <w:sz w:val="22"/>
        </w:rPr>
        <w:t>.</w:t>
      </w:r>
      <w:r>
        <w:rPr>
          <w:sz w:val="22"/>
        </w:rPr>
        <w:t>2</w:t>
      </w:r>
      <w:r w:rsidR="007E2E42" w:rsidRPr="007D59C2">
        <w:rPr>
          <w:sz w:val="22"/>
        </w:rPr>
        <w:t xml:space="preserve">.1 </w:t>
      </w:r>
      <w:r w:rsidR="007E2E42">
        <w:rPr>
          <w:sz w:val="22"/>
        </w:rPr>
        <w:t xml:space="preserve">Event Characteristics for SCE </w:t>
      </w:r>
      <w:r w:rsidR="001F6B12">
        <w:rPr>
          <w:sz w:val="22"/>
        </w:rPr>
        <w:t>AMP</w:t>
      </w:r>
      <w:bookmarkEnd w:id="109"/>
    </w:p>
    <w:p w:rsidR="006E26AE" w:rsidRPr="006E26AE" w:rsidRDefault="006E26AE" w:rsidP="006E26AE">
      <w:r w:rsidRPr="006E26AE">
        <w:t xml:space="preserve">Table </w:t>
      </w:r>
      <w:r w:rsidR="00DB5F6E">
        <w:t>5–</w:t>
      </w:r>
      <w:r w:rsidR="00014920">
        <w:t>7</w:t>
      </w:r>
      <w:r>
        <w:t xml:space="preserve"> summarizes </w:t>
      </w:r>
      <w:r w:rsidR="00BB67F0">
        <w:t>SCE</w:t>
      </w:r>
      <w:r w:rsidR="001F6B12">
        <w:t>’s AMP</w:t>
      </w:r>
      <w:r>
        <w:t xml:space="preserve"> events in </w:t>
      </w:r>
      <w:r w:rsidR="007A67BB">
        <w:t>2014</w:t>
      </w:r>
      <w:r w:rsidR="006C0B33">
        <w:t xml:space="preserve">. Only DO notice contracts were </w:t>
      </w:r>
      <w:r w:rsidR="00AC1A35">
        <w:t>active</w:t>
      </w:r>
      <w:r w:rsidR="00AA42B9">
        <w:t xml:space="preserve">, differentiated by </w:t>
      </w:r>
      <w:r w:rsidR="006C0B33">
        <w:t xml:space="preserve">event-window </w:t>
      </w:r>
      <w:r w:rsidR="00605213">
        <w:t>product-</w:t>
      </w:r>
      <w:r w:rsidR="00AA42B9">
        <w:t>type</w:t>
      </w:r>
      <w:r w:rsidR="006C0B33">
        <w:t xml:space="preserve"> (1-4 and </w:t>
      </w:r>
      <w:r w:rsidR="007A6B31">
        <w:t>1</w:t>
      </w:r>
      <w:r w:rsidR="006C0B33">
        <w:t xml:space="preserve">-6 </w:t>
      </w:r>
      <w:r w:rsidR="00AC1A35">
        <w:t>H</w:t>
      </w:r>
      <w:r w:rsidR="006C0B33">
        <w:t>ours)</w:t>
      </w:r>
      <w:r>
        <w:t>.</w:t>
      </w:r>
      <w:r w:rsidR="00BB67F0">
        <w:t xml:space="preserve"> </w:t>
      </w:r>
      <w:r w:rsidR="006C0B33">
        <w:t>All but the February event were called for only one or other of the product types. A number of the events were called for Measurement and Evaluation (M&amp;E) purposes</w:t>
      </w:r>
      <w:r w:rsidR="00AC1A35">
        <w:t>, one of which on June 26 was limited to two SubLaps</w:t>
      </w:r>
      <w:r w:rsidR="006C0B33">
        <w:t xml:space="preserve">. The events for which different sets of event hours are shown, separated by commas, </w:t>
      </w:r>
      <w:r w:rsidR="0094624D">
        <w:t xml:space="preserve">occurred </w:t>
      </w:r>
      <w:r w:rsidR="006C0B33">
        <w:t xml:space="preserve">for </w:t>
      </w:r>
      <w:r w:rsidR="009338DD">
        <w:t>different</w:t>
      </w:r>
      <w:r w:rsidR="006C0B33">
        <w:t xml:space="preserve"> reasons</w:t>
      </w:r>
      <w:r w:rsidR="0094624D">
        <w:t>, including separate hours considered as M&amp;E events and others related to market prices</w:t>
      </w:r>
      <w:r w:rsidR="006C0B33">
        <w:t>.</w:t>
      </w:r>
      <w:r w:rsidR="009101C5">
        <w:t xml:space="preserve"> </w:t>
      </w:r>
      <w:r w:rsidR="00605213">
        <w:t>Shaded events are considered typical events with common event windows</w:t>
      </w:r>
      <w:r w:rsidR="00ED236A">
        <w:t xml:space="preserve">. </w:t>
      </w:r>
      <w:r w:rsidR="0094624D">
        <w:t xml:space="preserve">Since the AMP events were called for a variety of hours, few meet that criterion. For the DO 1-6 </w:t>
      </w:r>
      <w:r w:rsidR="007A6B31">
        <w:t xml:space="preserve">Hours </w:t>
      </w:r>
      <w:r w:rsidR="0094624D">
        <w:t>product, these are t</w:t>
      </w:r>
      <w:r w:rsidR="00AC1A35">
        <w:t>wo</w:t>
      </w:r>
      <w:r w:rsidR="0094624D">
        <w:t xml:space="preserve"> events </w:t>
      </w:r>
      <w:r w:rsidR="007A6B31">
        <w:t>called for</w:t>
      </w:r>
      <w:r w:rsidR="0094624D">
        <w:t xml:space="preserve"> HE 15 – 16. For the DO 1-4 </w:t>
      </w:r>
      <w:r w:rsidR="007A6B31">
        <w:t xml:space="preserve">Hours </w:t>
      </w:r>
      <w:r w:rsidR="0094624D">
        <w:t xml:space="preserve">product, no multiple events cover the same event window. As a result, we treat the four-hour May 14 event, for </w:t>
      </w:r>
      <w:r w:rsidR="00605213">
        <w:t xml:space="preserve">HE 15 – 18 </w:t>
      </w:r>
      <w:r w:rsidR="0094624D">
        <w:t>as typical</w:t>
      </w:r>
      <w:r w:rsidR="00605213">
        <w:t>.</w:t>
      </w:r>
      <w:r w:rsidR="007A6B31">
        <w:t xml:space="preserve"> Note also that the DO 1-4 Hours contract</w:t>
      </w:r>
      <w:r w:rsidR="00541081">
        <w:t>’s associated portfolio</w:t>
      </w:r>
      <w:r w:rsidR="007A6B31">
        <w:t xml:space="preserve"> was transferred to CBP </w:t>
      </w:r>
      <w:r w:rsidR="00541081">
        <w:t xml:space="preserve">DO </w:t>
      </w:r>
      <w:r w:rsidR="007A6B31">
        <w:t>at the end of June.</w:t>
      </w:r>
    </w:p>
    <w:p w:rsidR="007E2E42" w:rsidRDefault="007E2E42" w:rsidP="007E2E42"/>
    <w:p w:rsidR="007E2E42" w:rsidRPr="00401B10" w:rsidRDefault="007E2E42" w:rsidP="00DB5F6E">
      <w:pPr>
        <w:pStyle w:val="TableCaption"/>
      </w:pPr>
      <w:bookmarkStart w:id="110" w:name="_Toc414545910"/>
      <w:r w:rsidRPr="00401B10">
        <w:t xml:space="preserve">Table </w:t>
      </w:r>
      <w:fldSimple w:instr=" STYLEREF 1 \s ">
        <w:r w:rsidR="004A7BE8">
          <w:rPr>
            <w:noProof/>
          </w:rPr>
          <w:t>5</w:t>
        </w:r>
      </w:fldSimple>
      <w:r w:rsidR="0088207A">
        <w:t>–</w:t>
      </w:r>
      <w:r w:rsidR="00014920">
        <w:t>7</w:t>
      </w:r>
      <w:r w:rsidRPr="00401B10">
        <w:t xml:space="preserve">: </w:t>
      </w:r>
      <w:r>
        <w:t xml:space="preserve">Event Summary for </w:t>
      </w:r>
      <w:r w:rsidR="007A67BB">
        <w:t>2014</w:t>
      </w:r>
      <w:r w:rsidRPr="00401B10">
        <w:t xml:space="preserve"> – </w:t>
      </w:r>
      <w:r>
        <w:rPr>
          <w:i/>
        </w:rPr>
        <w:t xml:space="preserve">SCE </w:t>
      </w:r>
      <w:r w:rsidR="001F6B12">
        <w:rPr>
          <w:i/>
        </w:rPr>
        <w:t>AMP</w:t>
      </w:r>
      <w:bookmarkEnd w:id="110"/>
    </w:p>
    <w:p w:rsidR="007E2E42" w:rsidRPr="00BD24B3" w:rsidRDefault="00F0469C" w:rsidP="009101C5">
      <w:pPr>
        <w:jc w:val="center"/>
      </w:pPr>
      <w:r w:rsidRPr="00F0469C">
        <w:rPr>
          <w:noProof/>
        </w:rPr>
        <w:drawing>
          <wp:inline distT="0" distB="0" distL="0" distR="0" wp14:anchorId="4189D89E" wp14:editId="6048084D">
            <wp:extent cx="4743450" cy="2847975"/>
            <wp:effectExtent l="0" t="0" r="0"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743450" cy="2847975"/>
                    </a:xfrm>
                    <a:prstGeom prst="rect">
                      <a:avLst/>
                    </a:prstGeom>
                    <a:noFill/>
                    <a:ln>
                      <a:noFill/>
                    </a:ln>
                  </pic:spPr>
                </pic:pic>
              </a:graphicData>
            </a:graphic>
          </wp:inline>
        </w:drawing>
      </w:r>
    </w:p>
    <w:p w:rsidR="007E2E42" w:rsidRPr="007E2E42" w:rsidRDefault="007E2E42" w:rsidP="007E2E42"/>
    <w:p w:rsidR="007D59C2" w:rsidRPr="007D59C2" w:rsidRDefault="009C0310" w:rsidP="007D59C2">
      <w:pPr>
        <w:pStyle w:val="Heading3"/>
        <w:rPr>
          <w:sz w:val="22"/>
        </w:rPr>
      </w:pPr>
      <w:bookmarkStart w:id="111" w:name="_Toc415231775"/>
      <w:r>
        <w:rPr>
          <w:sz w:val="22"/>
        </w:rPr>
        <w:t>5</w:t>
      </w:r>
      <w:r w:rsidR="007D59C2" w:rsidRPr="007D59C2">
        <w:rPr>
          <w:sz w:val="22"/>
        </w:rPr>
        <w:t>.</w:t>
      </w:r>
      <w:r>
        <w:rPr>
          <w:sz w:val="22"/>
        </w:rPr>
        <w:t>2</w:t>
      </w:r>
      <w:r w:rsidR="007D59C2" w:rsidRPr="007D59C2">
        <w:rPr>
          <w:sz w:val="22"/>
        </w:rPr>
        <w:t>.</w:t>
      </w:r>
      <w:r w:rsidR="007E2E42">
        <w:rPr>
          <w:sz w:val="22"/>
        </w:rPr>
        <w:t>2</w:t>
      </w:r>
      <w:r w:rsidR="007D59C2" w:rsidRPr="007D59C2">
        <w:rPr>
          <w:sz w:val="22"/>
        </w:rPr>
        <w:t xml:space="preserve"> Summary load impacts</w:t>
      </w:r>
      <w:bookmarkEnd w:id="111"/>
    </w:p>
    <w:p w:rsidR="009E19F6" w:rsidRPr="00401B10" w:rsidRDefault="009E19F6" w:rsidP="009E19F6">
      <w:pPr>
        <w:spacing w:before="240"/>
      </w:pPr>
      <w:r w:rsidRPr="00401B10">
        <w:t xml:space="preserve">Table </w:t>
      </w:r>
      <w:r w:rsidR="006E26AE">
        <w:t>5</w:t>
      </w:r>
      <w:r w:rsidRPr="00401B10">
        <w:t>–</w:t>
      </w:r>
      <w:r w:rsidR="00014920">
        <w:t>8</w:t>
      </w:r>
      <w:r w:rsidRPr="00401B10">
        <w:t xml:space="preserve"> show</w:t>
      </w:r>
      <w:r w:rsidR="007E2E42">
        <w:t>s</w:t>
      </w:r>
      <w:r w:rsidRPr="00401B10">
        <w:t xml:space="preserve"> </w:t>
      </w:r>
      <w:r w:rsidR="005C7A57">
        <w:t>average event-hour</w:t>
      </w:r>
      <w:r w:rsidRPr="00401B10">
        <w:t xml:space="preserve"> estimated </w:t>
      </w:r>
      <w:r w:rsidRPr="00401B10">
        <w:rPr>
          <w:i/>
        </w:rPr>
        <w:t>reference load</w:t>
      </w:r>
      <w:r w:rsidRPr="00401B10">
        <w:t xml:space="preserve">, </w:t>
      </w:r>
      <w:r w:rsidRPr="00401B10">
        <w:rPr>
          <w:i/>
        </w:rPr>
        <w:t>observed load</w:t>
      </w:r>
      <w:r w:rsidRPr="00401B10">
        <w:t xml:space="preserve">, </w:t>
      </w:r>
      <w:r w:rsidR="0047061F">
        <w:t xml:space="preserve">estimated </w:t>
      </w:r>
      <w:r w:rsidRPr="00401B10">
        <w:rPr>
          <w:i/>
        </w:rPr>
        <w:t>load impacts</w:t>
      </w:r>
      <w:r w:rsidRPr="00401B10">
        <w:t xml:space="preserve"> and </w:t>
      </w:r>
      <w:r w:rsidRPr="00401B10">
        <w:rPr>
          <w:i/>
        </w:rPr>
        <w:t>percentage load impacts</w:t>
      </w:r>
      <w:r w:rsidRPr="00401B10">
        <w:t xml:space="preserve"> for the </w:t>
      </w:r>
      <w:r w:rsidR="0047061F">
        <w:t xml:space="preserve">various </w:t>
      </w:r>
      <w:r w:rsidRPr="00401B10">
        <w:t xml:space="preserve">product types, for </w:t>
      </w:r>
      <w:r w:rsidR="0047061F">
        <w:t xml:space="preserve">each of </w:t>
      </w:r>
      <w:r>
        <w:t>the SC</w:t>
      </w:r>
      <w:r w:rsidRPr="00401B10">
        <w:t xml:space="preserve">E </w:t>
      </w:r>
      <w:r w:rsidR="0047061F">
        <w:t>AMP</w:t>
      </w:r>
      <w:r w:rsidRPr="00401B10">
        <w:t xml:space="preserve"> events, and for </w:t>
      </w:r>
      <w:r w:rsidR="007A6B31">
        <w:t xml:space="preserve">typical </w:t>
      </w:r>
      <w:r>
        <w:t>event</w:t>
      </w:r>
      <w:r w:rsidR="007A6B31">
        <w:t>s</w:t>
      </w:r>
      <w:r w:rsidR="0047061F">
        <w:t xml:space="preserve">. </w:t>
      </w:r>
      <w:r w:rsidR="007A6B31">
        <w:t xml:space="preserve">As described above, typical </w:t>
      </w:r>
      <w:r w:rsidR="0047061F">
        <w:t>event</w:t>
      </w:r>
      <w:r w:rsidR="007A6B31">
        <w:t>s</w:t>
      </w:r>
      <w:r w:rsidR="0047061F">
        <w:t xml:space="preserve"> for each product type</w:t>
      </w:r>
      <w:r w:rsidR="00413568">
        <w:t xml:space="preserve"> </w:t>
      </w:r>
      <w:r w:rsidR="007A6B31">
        <w:t>are</w:t>
      </w:r>
      <w:r w:rsidR="00413568">
        <w:t xml:space="preserve"> defined as the </w:t>
      </w:r>
      <w:r w:rsidR="0047061F">
        <w:t xml:space="preserve">average over </w:t>
      </w:r>
      <w:r w:rsidR="007A6B31">
        <w:t>the most frequent</w:t>
      </w:r>
      <w:r w:rsidR="0047061F">
        <w:t xml:space="preserve"> events </w:t>
      </w:r>
      <w:r w:rsidR="007A6B31">
        <w:t>of the same event window for</w:t>
      </w:r>
      <w:r w:rsidR="00413568">
        <w:t xml:space="preserve"> which </w:t>
      </w:r>
      <w:r w:rsidR="0047061F">
        <w:t xml:space="preserve">that product was </w:t>
      </w:r>
      <w:r w:rsidR="00413568">
        <w:t>called</w:t>
      </w:r>
      <w:r>
        <w:t xml:space="preserve">. </w:t>
      </w:r>
      <w:r w:rsidRPr="00401B10">
        <w:t xml:space="preserve">The </w:t>
      </w:r>
      <w:r w:rsidR="007A6B31">
        <w:t xml:space="preserve">typical </w:t>
      </w:r>
      <w:r w:rsidR="005C7A57">
        <w:t>event-hour</w:t>
      </w:r>
      <w:r w:rsidRPr="00401B10">
        <w:t xml:space="preserve"> load impact </w:t>
      </w:r>
      <w:r w:rsidR="007A6B31">
        <w:t xml:space="preserve">for the DO 1-6 Hour product </w:t>
      </w:r>
      <w:r w:rsidRPr="00401B10">
        <w:t>w</w:t>
      </w:r>
      <w:r w:rsidR="0047061F">
        <w:t>as</w:t>
      </w:r>
      <w:r w:rsidRPr="00401B10">
        <w:t xml:space="preserve"> </w:t>
      </w:r>
      <w:r w:rsidR="00F0469C">
        <w:t>90</w:t>
      </w:r>
      <w:r w:rsidR="00413568">
        <w:t>.</w:t>
      </w:r>
      <w:r w:rsidR="00F0469C">
        <w:t>3</w:t>
      </w:r>
      <w:r w:rsidRPr="00401B10">
        <w:t xml:space="preserve"> MW</w:t>
      </w:r>
      <w:r w:rsidR="007A6B31">
        <w:t xml:space="preserve">. The typical event for DO 1-4 </w:t>
      </w:r>
      <w:r w:rsidR="001A3798">
        <w:t xml:space="preserve">Hour </w:t>
      </w:r>
      <w:r w:rsidR="007A6B31">
        <w:t>was assigned to be the May 14 event</w:t>
      </w:r>
      <w:r w:rsidRPr="00401B10">
        <w:t>,</w:t>
      </w:r>
      <w:r w:rsidR="007A6B31">
        <w:t xml:space="preserve"> since none of the events had common windows.</w:t>
      </w:r>
      <w:r w:rsidRPr="00401B10">
        <w:t xml:space="preserve"> </w:t>
      </w:r>
      <w:r w:rsidR="007A6B31">
        <w:lastRenderedPageBreak/>
        <w:t xml:space="preserve">The average event-hour load </w:t>
      </w:r>
      <w:r w:rsidRPr="00401B10">
        <w:t>impact</w:t>
      </w:r>
      <w:r w:rsidR="00413568">
        <w:t xml:space="preserve"> </w:t>
      </w:r>
      <w:r w:rsidR="001A3798">
        <w:t xml:space="preserve">for that event </w:t>
      </w:r>
      <w:r w:rsidR="007A6B31">
        <w:t>was 43</w:t>
      </w:r>
      <w:r w:rsidR="0047061F">
        <w:t>.</w:t>
      </w:r>
      <w:r w:rsidR="00F0469C">
        <w:t>2</w:t>
      </w:r>
      <w:r w:rsidRPr="00401B10">
        <w:t xml:space="preserve"> MW</w:t>
      </w:r>
      <w:r w:rsidR="001A3798">
        <w:t xml:space="preserve">, and average event-hour load impact values </w:t>
      </w:r>
      <w:r w:rsidR="00274937">
        <w:t xml:space="preserve">across the four events for that product </w:t>
      </w:r>
      <w:r w:rsidR="001A3798">
        <w:t xml:space="preserve">were quite consistent. The value for the typical event for the DO 1-4 Hour product should be considered typical only through the month of June, after which that contract was transferred to CBP.  </w:t>
      </w:r>
      <w:r>
        <w:t xml:space="preserve">Average percentage load impacts </w:t>
      </w:r>
      <w:r w:rsidR="001A3798">
        <w:t xml:space="preserve">were 25 percent and </w:t>
      </w:r>
      <w:r w:rsidR="00F0469C">
        <w:t>30</w:t>
      </w:r>
      <w:r w:rsidR="001A3798">
        <w:t xml:space="preserve"> percent for the two DO products</w:t>
      </w:r>
      <w:r>
        <w:t>.</w:t>
      </w:r>
      <w:r w:rsidRPr="00401B10">
        <w:t xml:space="preserve"> </w:t>
      </w:r>
    </w:p>
    <w:p w:rsidR="00F22D50" w:rsidRDefault="00F22D50" w:rsidP="00F22D50"/>
    <w:p w:rsidR="005928FF" w:rsidRPr="00401B10" w:rsidRDefault="005928FF" w:rsidP="00DB5F6E">
      <w:pPr>
        <w:pStyle w:val="TableCaption"/>
      </w:pPr>
      <w:bookmarkStart w:id="112" w:name="_Toc414545911"/>
      <w:r w:rsidRPr="00401B10">
        <w:t xml:space="preserve">Table </w:t>
      </w:r>
      <w:fldSimple w:instr=" STYLEREF 1 \s ">
        <w:r w:rsidR="004A7BE8">
          <w:rPr>
            <w:noProof/>
          </w:rPr>
          <w:t>5</w:t>
        </w:r>
      </w:fldSimple>
      <w:r w:rsidR="0088207A">
        <w:t>–</w:t>
      </w:r>
      <w:r w:rsidR="00014920">
        <w:t>8</w:t>
      </w:r>
      <w:r w:rsidRPr="00401B10">
        <w:t xml:space="preserve">: </w:t>
      </w:r>
      <w:r w:rsidR="005C7A57">
        <w:t xml:space="preserve">Average </w:t>
      </w:r>
      <w:r w:rsidR="005C7A57" w:rsidRPr="005C7A57">
        <w:t>Event-Hour</w:t>
      </w:r>
      <w:r w:rsidRPr="00401B10">
        <w:t xml:space="preserve"> Load Impacts by Event – </w:t>
      </w:r>
      <w:r>
        <w:rPr>
          <w:i/>
        </w:rPr>
        <w:t>SC</w:t>
      </w:r>
      <w:r w:rsidRPr="00401B10">
        <w:rPr>
          <w:i/>
        </w:rPr>
        <w:t xml:space="preserve">E </w:t>
      </w:r>
      <w:r w:rsidR="001F6B12">
        <w:rPr>
          <w:i/>
        </w:rPr>
        <w:t>AMP</w:t>
      </w:r>
      <w:bookmarkEnd w:id="112"/>
    </w:p>
    <w:p w:rsidR="000249A3" w:rsidRPr="00BD24B3" w:rsidRDefault="00030F3E" w:rsidP="00F22D50">
      <w:r w:rsidRPr="00030F3E">
        <w:drawing>
          <wp:inline distT="0" distB="0" distL="0" distR="0">
            <wp:extent cx="5486400" cy="3330363"/>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486400" cy="3330363"/>
                    </a:xfrm>
                    <a:prstGeom prst="rect">
                      <a:avLst/>
                    </a:prstGeom>
                    <a:noFill/>
                    <a:ln>
                      <a:noFill/>
                    </a:ln>
                  </pic:spPr>
                </pic:pic>
              </a:graphicData>
            </a:graphic>
          </wp:inline>
        </w:drawing>
      </w:r>
    </w:p>
    <w:p w:rsidR="005906CE" w:rsidRDefault="005906CE" w:rsidP="00F22D50"/>
    <w:p w:rsidR="001F33E7" w:rsidRDefault="001F33E7" w:rsidP="001F33E7">
      <w:r w:rsidRPr="00401B10">
        <w:t>Ta</w:t>
      </w:r>
      <w:r w:rsidR="00413568">
        <w:t>ble 5</w:t>
      </w:r>
      <w:r w:rsidR="00DB5F6E">
        <w:t>–</w:t>
      </w:r>
      <w:r w:rsidR="00014920">
        <w:t>9</w:t>
      </w:r>
      <w:r>
        <w:t xml:space="preserve"> shows the distribution of </w:t>
      </w:r>
      <w:r w:rsidR="005C7A57">
        <w:t>average event-hour</w:t>
      </w:r>
      <w:r>
        <w:t xml:space="preserve"> load impacts for the </w:t>
      </w:r>
      <w:r w:rsidR="00C2497F">
        <w:t>average</w:t>
      </w:r>
      <w:r>
        <w:t xml:space="preserve"> event by industry type. </w:t>
      </w:r>
      <w:r w:rsidR="00413568">
        <w:t>DO load impacts were spread across a range of industry types, topped by Wholesale, Transport, and other utilities.</w:t>
      </w:r>
    </w:p>
    <w:p w:rsidR="001F33E7" w:rsidRDefault="001F33E7" w:rsidP="001F33E7"/>
    <w:p w:rsidR="001F33E7" w:rsidRPr="00401B10" w:rsidRDefault="001F33E7" w:rsidP="00DB5F6E">
      <w:pPr>
        <w:pStyle w:val="TableCaption"/>
      </w:pPr>
      <w:bookmarkStart w:id="113" w:name="_Toc414545912"/>
      <w:r w:rsidRPr="00401B10">
        <w:t xml:space="preserve">Table </w:t>
      </w:r>
      <w:fldSimple w:instr=" STYLEREF 1 \s ">
        <w:r w:rsidR="004A7BE8">
          <w:rPr>
            <w:noProof/>
          </w:rPr>
          <w:t>5</w:t>
        </w:r>
      </w:fldSimple>
      <w:r w:rsidR="00947923">
        <w:t>–</w:t>
      </w:r>
      <w:r w:rsidR="00014920">
        <w:t>9</w:t>
      </w:r>
      <w:r w:rsidRPr="00401B10">
        <w:t xml:space="preserve">: </w:t>
      </w:r>
      <w:r>
        <w:t xml:space="preserve">Distribution of </w:t>
      </w:r>
      <w:r w:rsidR="005C7A57">
        <w:t xml:space="preserve">Average </w:t>
      </w:r>
      <w:r w:rsidR="005C7A57" w:rsidRPr="005C7A57">
        <w:t>Event-Hour</w:t>
      </w:r>
      <w:r w:rsidRPr="00401B10">
        <w:t xml:space="preserve"> Load Impacts by </w:t>
      </w:r>
      <w:r>
        <w:t>Industry Type</w:t>
      </w:r>
      <w:r w:rsidRPr="00401B10">
        <w:t xml:space="preserve"> – </w:t>
      </w:r>
      <w:r w:rsidR="00BD24B3">
        <w:rPr>
          <w:i/>
        </w:rPr>
        <w:t>SC</w:t>
      </w:r>
      <w:r w:rsidRPr="00401B10">
        <w:rPr>
          <w:i/>
        </w:rPr>
        <w:t xml:space="preserve">E </w:t>
      </w:r>
      <w:r w:rsidR="001F6B12">
        <w:rPr>
          <w:i/>
        </w:rPr>
        <w:t>AMP</w:t>
      </w:r>
      <w:bookmarkEnd w:id="113"/>
    </w:p>
    <w:p w:rsidR="001F33E7" w:rsidRPr="00BD24B3" w:rsidRDefault="00ED7EBA" w:rsidP="00FB378C">
      <w:pPr>
        <w:jc w:val="center"/>
      </w:pPr>
      <w:r w:rsidRPr="00ED7EBA">
        <w:rPr>
          <w:noProof/>
        </w:rPr>
        <w:drawing>
          <wp:inline distT="0" distB="0" distL="0" distR="0" wp14:anchorId="4155C854" wp14:editId="12F30626">
            <wp:extent cx="5486400" cy="1859995"/>
            <wp:effectExtent l="0" t="0" r="0" b="698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1859995"/>
                    </a:xfrm>
                    <a:prstGeom prst="rect">
                      <a:avLst/>
                    </a:prstGeom>
                    <a:noFill/>
                    <a:ln>
                      <a:noFill/>
                    </a:ln>
                  </pic:spPr>
                </pic:pic>
              </a:graphicData>
            </a:graphic>
          </wp:inline>
        </w:drawing>
      </w:r>
    </w:p>
    <w:p w:rsidR="001F33E7" w:rsidRDefault="001F33E7" w:rsidP="001F33E7"/>
    <w:p w:rsidR="001F33E7" w:rsidRDefault="001F33E7" w:rsidP="001F33E7">
      <w:r>
        <w:lastRenderedPageBreak/>
        <w:t xml:space="preserve">Table </w:t>
      </w:r>
      <w:r w:rsidR="00413568">
        <w:t>5</w:t>
      </w:r>
      <w:r w:rsidR="00DB5F6E">
        <w:t>–</w:t>
      </w:r>
      <w:r w:rsidR="00014920">
        <w:t>10</w:t>
      </w:r>
      <w:r>
        <w:t xml:space="preserve"> shows the distribution of </w:t>
      </w:r>
      <w:r w:rsidR="005C7A57">
        <w:t>average event-hour</w:t>
      </w:r>
      <w:r w:rsidR="00413568">
        <w:t xml:space="preserve"> load impacts by LCA, most of which occurred in the LA Basin.</w:t>
      </w:r>
    </w:p>
    <w:p w:rsidR="001F33E7" w:rsidRDefault="001F33E7" w:rsidP="001F33E7"/>
    <w:p w:rsidR="001F33E7" w:rsidRPr="00401B10" w:rsidRDefault="001F33E7" w:rsidP="00DB5F6E">
      <w:pPr>
        <w:pStyle w:val="TableCaption"/>
      </w:pPr>
      <w:bookmarkStart w:id="114" w:name="_Toc414545913"/>
      <w:r w:rsidRPr="00401B10">
        <w:t xml:space="preserve">Table </w:t>
      </w:r>
      <w:fldSimple w:instr=" STYLEREF 1 \s ">
        <w:r w:rsidR="004A7BE8">
          <w:rPr>
            <w:noProof/>
          </w:rPr>
          <w:t>5</w:t>
        </w:r>
      </w:fldSimple>
      <w:r w:rsidR="00947923">
        <w:t>–</w:t>
      </w:r>
      <w:r w:rsidR="00014920">
        <w:t>10</w:t>
      </w:r>
      <w:r w:rsidRPr="00401B10">
        <w:t xml:space="preserve">: </w:t>
      </w:r>
      <w:r>
        <w:t xml:space="preserve">Distribution of </w:t>
      </w:r>
      <w:r w:rsidR="005C7A57">
        <w:t xml:space="preserve">Average </w:t>
      </w:r>
      <w:r w:rsidR="005C7A57" w:rsidRPr="005C7A57">
        <w:t>Event-Hour</w:t>
      </w:r>
      <w:r w:rsidRPr="00401B10">
        <w:t xml:space="preserve"> Load Impacts by </w:t>
      </w:r>
      <w:r>
        <w:t>LCA</w:t>
      </w:r>
      <w:r w:rsidRPr="00401B10">
        <w:t xml:space="preserve"> – </w:t>
      </w:r>
      <w:r w:rsidR="00BD24B3">
        <w:rPr>
          <w:i/>
        </w:rPr>
        <w:t>SC</w:t>
      </w:r>
      <w:r w:rsidRPr="00401B10">
        <w:rPr>
          <w:i/>
        </w:rPr>
        <w:t xml:space="preserve">E </w:t>
      </w:r>
      <w:r w:rsidR="001F6B12">
        <w:rPr>
          <w:i/>
        </w:rPr>
        <w:t>AMP</w:t>
      </w:r>
      <w:bookmarkEnd w:id="114"/>
    </w:p>
    <w:p w:rsidR="001F33E7" w:rsidRPr="00BD24B3" w:rsidRDefault="00F0469C" w:rsidP="00FB378C">
      <w:pPr>
        <w:jc w:val="center"/>
      </w:pPr>
      <w:r w:rsidRPr="00F0469C">
        <w:rPr>
          <w:noProof/>
        </w:rPr>
        <w:drawing>
          <wp:inline distT="0" distB="0" distL="0" distR="0" wp14:anchorId="103FAC29" wp14:editId="75BC57E4">
            <wp:extent cx="5486400" cy="1347416"/>
            <wp:effectExtent l="0" t="0" r="0" b="571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86400" cy="1347416"/>
                    </a:xfrm>
                    <a:prstGeom prst="rect">
                      <a:avLst/>
                    </a:prstGeom>
                    <a:noFill/>
                    <a:ln>
                      <a:noFill/>
                    </a:ln>
                  </pic:spPr>
                </pic:pic>
              </a:graphicData>
            </a:graphic>
          </wp:inline>
        </w:drawing>
      </w:r>
    </w:p>
    <w:p w:rsidR="001F33E7" w:rsidRDefault="001F33E7" w:rsidP="00F22D50"/>
    <w:p w:rsidR="00877F4B" w:rsidRDefault="00877F4B" w:rsidP="00F22D50">
      <w:r>
        <w:t>Tables 5–11 and 5–12 provide average event-hour load impacts in Southern Orange County and South of Lugo respectively.</w:t>
      </w:r>
    </w:p>
    <w:p w:rsidR="00877F4B" w:rsidRDefault="00877F4B" w:rsidP="00F22D50"/>
    <w:p w:rsidR="00877F4B" w:rsidRPr="00401B10" w:rsidRDefault="00877F4B" w:rsidP="00877F4B">
      <w:pPr>
        <w:pStyle w:val="TableCaption"/>
      </w:pPr>
      <w:bookmarkStart w:id="115" w:name="_Toc414545914"/>
      <w:r w:rsidRPr="00401B10">
        <w:t xml:space="preserve">Table </w:t>
      </w:r>
      <w:fldSimple w:instr=" STYLEREF 1 \s ">
        <w:r w:rsidR="004A7BE8">
          <w:rPr>
            <w:noProof/>
          </w:rPr>
          <w:t>5</w:t>
        </w:r>
      </w:fldSimple>
      <w:r>
        <w:t>–11</w:t>
      </w:r>
      <w:r w:rsidRPr="00401B10">
        <w:t xml:space="preserve">: </w:t>
      </w:r>
      <w:r>
        <w:t xml:space="preserve">Average </w:t>
      </w:r>
      <w:r w:rsidRPr="005C7A57">
        <w:t>Event-Hour</w:t>
      </w:r>
      <w:r w:rsidRPr="00401B10">
        <w:t xml:space="preserve"> Load Impacts </w:t>
      </w:r>
      <w:r>
        <w:t xml:space="preserve">for </w:t>
      </w:r>
      <w:r w:rsidRPr="00877F4B">
        <w:rPr>
          <w:i/>
        </w:rPr>
        <w:t>Southern Orange County</w:t>
      </w:r>
      <w:r w:rsidRPr="00401B10">
        <w:t xml:space="preserve"> – </w:t>
      </w:r>
      <w:r>
        <w:rPr>
          <w:i/>
        </w:rPr>
        <w:t>SC</w:t>
      </w:r>
      <w:r w:rsidRPr="00401B10">
        <w:rPr>
          <w:i/>
        </w:rPr>
        <w:t xml:space="preserve">E </w:t>
      </w:r>
      <w:r>
        <w:rPr>
          <w:i/>
        </w:rPr>
        <w:t>AMP</w:t>
      </w:r>
      <w:bookmarkEnd w:id="115"/>
    </w:p>
    <w:p w:rsidR="00877F4B" w:rsidRDefault="00F0469C" w:rsidP="00F0469C">
      <w:pPr>
        <w:jc w:val="center"/>
      </w:pPr>
      <w:r w:rsidRPr="00F0469C">
        <w:rPr>
          <w:noProof/>
        </w:rPr>
        <w:drawing>
          <wp:inline distT="0" distB="0" distL="0" distR="0" wp14:anchorId="5584AC1B" wp14:editId="5DCB5F66">
            <wp:extent cx="5486400" cy="2887218"/>
            <wp:effectExtent l="0" t="0" r="0" b="889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86400" cy="2887218"/>
                    </a:xfrm>
                    <a:prstGeom prst="rect">
                      <a:avLst/>
                    </a:prstGeom>
                    <a:noFill/>
                    <a:ln>
                      <a:noFill/>
                    </a:ln>
                  </pic:spPr>
                </pic:pic>
              </a:graphicData>
            </a:graphic>
          </wp:inline>
        </w:drawing>
      </w:r>
    </w:p>
    <w:p w:rsidR="00877F4B" w:rsidRDefault="00877F4B" w:rsidP="00F22D50"/>
    <w:p w:rsidR="00877F4B" w:rsidRPr="00401B10" w:rsidRDefault="00877F4B" w:rsidP="00877F4B">
      <w:pPr>
        <w:pStyle w:val="TableCaption"/>
      </w:pPr>
      <w:bookmarkStart w:id="116" w:name="_Toc414545915"/>
      <w:r w:rsidRPr="00401B10">
        <w:lastRenderedPageBreak/>
        <w:t xml:space="preserve">Table </w:t>
      </w:r>
      <w:fldSimple w:instr=" STYLEREF 1 \s ">
        <w:r w:rsidR="004A7BE8">
          <w:rPr>
            <w:noProof/>
          </w:rPr>
          <w:t>5</w:t>
        </w:r>
      </w:fldSimple>
      <w:r>
        <w:t>–12</w:t>
      </w:r>
      <w:r w:rsidRPr="00401B10">
        <w:t xml:space="preserve">: </w:t>
      </w:r>
      <w:r>
        <w:t xml:space="preserve">Average </w:t>
      </w:r>
      <w:r w:rsidRPr="005C7A57">
        <w:t>Event-Hour</w:t>
      </w:r>
      <w:r w:rsidRPr="00401B10">
        <w:t xml:space="preserve"> Load Impacts </w:t>
      </w:r>
      <w:r>
        <w:t xml:space="preserve">for </w:t>
      </w:r>
      <w:r w:rsidRPr="00877F4B">
        <w:rPr>
          <w:i/>
        </w:rPr>
        <w:t>South of Lugo</w:t>
      </w:r>
      <w:r w:rsidRPr="00401B10">
        <w:t xml:space="preserve"> – </w:t>
      </w:r>
      <w:r>
        <w:rPr>
          <w:i/>
        </w:rPr>
        <w:t>SC</w:t>
      </w:r>
      <w:r w:rsidRPr="00401B10">
        <w:rPr>
          <w:i/>
        </w:rPr>
        <w:t xml:space="preserve">E </w:t>
      </w:r>
      <w:r>
        <w:rPr>
          <w:i/>
        </w:rPr>
        <w:t>AMP</w:t>
      </w:r>
      <w:bookmarkEnd w:id="116"/>
    </w:p>
    <w:p w:rsidR="00877F4B" w:rsidRDefault="00F0469C" w:rsidP="00F22D50">
      <w:r w:rsidRPr="00F0469C">
        <w:rPr>
          <w:noProof/>
        </w:rPr>
        <w:drawing>
          <wp:inline distT="0" distB="0" distL="0" distR="0" wp14:anchorId="5E17B2DB" wp14:editId="4E355D7D">
            <wp:extent cx="5486400" cy="3099816"/>
            <wp:effectExtent l="0" t="0" r="0" b="571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486400" cy="3099816"/>
                    </a:xfrm>
                    <a:prstGeom prst="rect">
                      <a:avLst/>
                    </a:prstGeom>
                    <a:noFill/>
                    <a:ln>
                      <a:noFill/>
                    </a:ln>
                  </pic:spPr>
                </pic:pic>
              </a:graphicData>
            </a:graphic>
          </wp:inline>
        </w:drawing>
      </w:r>
    </w:p>
    <w:p w:rsidR="00877F4B" w:rsidRDefault="00877F4B" w:rsidP="00F22D50"/>
    <w:p w:rsidR="009C0310" w:rsidRPr="007D59C2" w:rsidRDefault="009C0310" w:rsidP="009C0310">
      <w:pPr>
        <w:pStyle w:val="Heading3"/>
        <w:rPr>
          <w:sz w:val="22"/>
          <w:szCs w:val="22"/>
        </w:rPr>
      </w:pPr>
      <w:bookmarkStart w:id="117" w:name="_Toc415231776"/>
      <w:r>
        <w:rPr>
          <w:sz w:val="22"/>
          <w:szCs w:val="22"/>
        </w:rPr>
        <w:t>5</w:t>
      </w:r>
      <w:r w:rsidRPr="007D59C2">
        <w:rPr>
          <w:sz w:val="22"/>
          <w:szCs w:val="22"/>
        </w:rPr>
        <w:t>.</w:t>
      </w:r>
      <w:r>
        <w:rPr>
          <w:sz w:val="22"/>
          <w:szCs w:val="22"/>
        </w:rPr>
        <w:t>2</w:t>
      </w:r>
      <w:r w:rsidRPr="007D59C2">
        <w:rPr>
          <w:sz w:val="22"/>
          <w:szCs w:val="22"/>
        </w:rPr>
        <w:t>.</w:t>
      </w:r>
      <w:r>
        <w:rPr>
          <w:sz w:val="22"/>
          <w:szCs w:val="22"/>
        </w:rPr>
        <w:t>3</w:t>
      </w:r>
      <w:r w:rsidRPr="007D59C2">
        <w:rPr>
          <w:sz w:val="22"/>
          <w:szCs w:val="22"/>
        </w:rPr>
        <w:t xml:space="preserve"> </w:t>
      </w:r>
      <w:r>
        <w:rPr>
          <w:sz w:val="22"/>
          <w:szCs w:val="22"/>
        </w:rPr>
        <w:t>Hourl</w:t>
      </w:r>
      <w:r w:rsidRPr="007D59C2">
        <w:rPr>
          <w:sz w:val="22"/>
          <w:szCs w:val="22"/>
        </w:rPr>
        <w:t>y load impacts</w:t>
      </w:r>
      <w:bookmarkEnd w:id="117"/>
    </w:p>
    <w:p w:rsidR="00A73D67" w:rsidRDefault="00A73D67" w:rsidP="00A73D67">
      <w:r w:rsidRPr="00211752">
        <w:t>Figure</w:t>
      </w:r>
      <w:r>
        <w:t xml:space="preserve"> 5</w:t>
      </w:r>
      <w:r w:rsidR="00DB5F6E">
        <w:t>–</w:t>
      </w:r>
      <w:r>
        <w:t>3 illustrate</w:t>
      </w:r>
      <w:r w:rsidR="0047061F">
        <w:t>s</w:t>
      </w:r>
      <w:r>
        <w:t xml:space="preserve"> the hourly profiles of the estimated reference load, observed load and estimated load impacts (in MW) of the SCE </w:t>
      </w:r>
      <w:r w:rsidR="006360BF">
        <w:t>AMP</w:t>
      </w:r>
      <w:r>
        <w:t xml:space="preserve"> DO </w:t>
      </w:r>
      <w:r w:rsidR="0047061F">
        <w:t xml:space="preserve">1-6 </w:t>
      </w:r>
      <w:r>
        <w:t xml:space="preserve">product type for the </w:t>
      </w:r>
      <w:r w:rsidR="006360BF">
        <w:t>two</w:t>
      </w:r>
      <w:r w:rsidR="001F1145">
        <w:t xml:space="preserve">-hour </w:t>
      </w:r>
      <w:r w:rsidR="006360BF">
        <w:t xml:space="preserve">July </w:t>
      </w:r>
      <w:r w:rsidR="0047061F">
        <w:t>2</w:t>
      </w:r>
      <w:r w:rsidR="006360BF">
        <w:t>5</w:t>
      </w:r>
      <w:r>
        <w:t xml:space="preserve"> event</w:t>
      </w:r>
      <w:r w:rsidR="001F1145">
        <w:t>, which was called for hours-ending 1</w:t>
      </w:r>
      <w:r w:rsidR="0047061F">
        <w:t>5</w:t>
      </w:r>
      <w:r w:rsidR="001F1145">
        <w:t>-1</w:t>
      </w:r>
      <w:r w:rsidR="006360BF">
        <w:t>6</w:t>
      </w:r>
      <w:r>
        <w:t>.</w:t>
      </w:r>
      <w:r w:rsidR="0047061F">
        <w:t xml:space="preserve"> The estimated load impacts </w:t>
      </w:r>
      <w:r w:rsidR="006360BF">
        <w:t xml:space="preserve">are slightly above </w:t>
      </w:r>
      <w:r w:rsidR="0047061F">
        <w:t xml:space="preserve">100 MW in </w:t>
      </w:r>
      <w:r w:rsidR="006360BF">
        <w:t xml:space="preserve">both </w:t>
      </w:r>
      <w:r w:rsidR="0047061F">
        <w:t>of the event hours.</w:t>
      </w:r>
    </w:p>
    <w:p w:rsidR="009C0310" w:rsidRDefault="009C0310" w:rsidP="009C0310"/>
    <w:p w:rsidR="00211752" w:rsidRPr="003911DA" w:rsidRDefault="00211752" w:rsidP="009C0310"/>
    <w:p w:rsidR="00D05E1F" w:rsidRDefault="00D05E1F" w:rsidP="00DB5F6E">
      <w:pPr>
        <w:pStyle w:val="FigureCaption"/>
      </w:pPr>
      <w:bookmarkStart w:id="118" w:name="_Toc412549196"/>
      <w:r w:rsidRPr="009627D3">
        <w:lastRenderedPageBreak/>
        <w:t xml:space="preserve">Figure </w:t>
      </w:r>
      <w:fldSimple w:instr=" STYLEREF 1 \s ">
        <w:r w:rsidR="004A7BE8">
          <w:rPr>
            <w:noProof/>
          </w:rPr>
          <w:t>5</w:t>
        </w:r>
      </w:fldSimple>
      <w:r w:rsidR="00947923">
        <w:t>–</w:t>
      </w:r>
      <w:r w:rsidR="0047061F">
        <w:t>3</w:t>
      </w:r>
      <w:r w:rsidRPr="009627D3">
        <w:t xml:space="preserve">: Hourly Loads and Load Impacts – </w:t>
      </w:r>
      <w:r>
        <w:t>SC</w:t>
      </w:r>
      <w:r w:rsidRPr="009627D3">
        <w:t xml:space="preserve">E </w:t>
      </w:r>
      <w:r w:rsidR="001F6B12">
        <w:t xml:space="preserve">AMP </w:t>
      </w:r>
      <w:r w:rsidRPr="009627D3">
        <w:t>D</w:t>
      </w:r>
      <w:r>
        <w:t xml:space="preserve">O </w:t>
      </w:r>
      <w:r w:rsidR="0047061F">
        <w:t>1-6</w:t>
      </w:r>
      <w:r w:rsidR="001F1145">
        <w:br/>
      </w:r>
      <w:r w:rsidR="006360BF">
        <w:rPr>
          <w:i/>
        </w:rPr>
        <w:t>July</w:t>
      </w:r>
      <w:r w:rsidR="001F1145" w:rsidRPr="001F1145">
        <w:rPr>
          <w:i/>
        </w:rPr>
        <w:t xml:space="preserve"> </w:t>
      </w:r>
      <w:r w:rsidR="0047061F">
        <w:rPr>
          <w:i/>
        </w:rPr>
        <w:t>2</w:t>
      </w:r>
      <w:r w:rsidR="006360BF">
        <w:rPr>
          <w:i/>
        </w:rPr>
        <w:t>5, 2014</w:t>
      </w:r>
      <w:r w:rsidR="001F1145" w:rsidRPr="001F1145">
        <w:rPr>
          <w:i/>
        </w:rPr>
        <w:t xml:space="preserve"> </w:t>
      </w:r>
      <w:r w:rsidRPr="001F1145">
        <w:rPr>
          <w:i/>
        </w:rPr>
        <w:t>Event</w:t>
      </w:r>
      <w:bookmarkEnd w:id="118"/>
    </w:p>
    <w:p w:rsidR="00285518" w:rsidRDefault="00446C3E" w:rsidP="00576DCE">
      <w:r w:rsidRPr="00446C3E">
        <w:rPr>
          <w:noProof/>
        </w:rPr>
        <w:drawing>
          <wp:inline distT="0" distB="0" distL="0" distR="0" wp14:anchorId="70506DC2" wp14:editId="588F9426">
            <wp:extent cx="5486400" cy="37259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486400" cy="3725975"/>
                    </a:xfrm>
                    <a:prstGeom prst="rect">
                      <a:avLst/>
                    </a:prstGeom>
                    <a:noFill/>
                    <a:ln>
                      <a:noFill/>
                    </a:ln>
                  </pic:spPr>
                </pic:pic>
              </a:graphicData>
            </a:graphic>
          </wp:inline>
        </w:drawing>
      </w:r>
    </w:p>
    <w:p w:rsidR="00285518" w:rsidRDefault="00285518" w:rsidP="00576DCE"/>
    <w:p w:rsidR="00576DCE" w:rsidRDefault="00576DCE" w:rsidP="00576DCE">
      <w:r>
        <w:t>Table 5</w:t>
      </w:r>
      <w:r w:rsidR="00D7314E">
        <w:t>–</w:t>
      </w:r>
      <w:r>
        <w:softHyphen/>
        <w:t>1</w:t>
      </w:r>
      <w:r w:rsidR="00E10867">
        <w:t>3</w:t>
      </w:r>
      <w:r>
        <w:t xml:space="preserve"> shows load impacts for TA/TI participants in </w:t>
      </w:r>
      <w:r w:rsidR="001F6B12">
        <w:t>AMP</w:t>
      </w:r>
      <w:r>
        <w:t xml:space="preserve">. </w:t>
      </w:r>
      <w:r w:rsidR="00AD1D74">
        <w:t xml:space="preserve">Results are differentiated by product type due to the transfer of the DO 1-4 Hour contract to CBP as of July. </w:t>
      </w:r>
      <w:r>
        <w:t>Fo</w:t>
      </w:r>
      <w:r w:rsidR="00AD1D74">
        <w:t xml:space="preserve">cusing on the 1-6 Hour product that was in place throughout the summer, 160 </w:t>
      </w:r>
      <w:r>
        <w:t xml:space="preserve">TA/TI </w:t>
      </w:r>
      <w:r w:rsidR="00595F10">
        <w:t>service accounts</w:t>
      </w:r>
      <w:r>
        <w:t xml:space="preserve"> provided </w:t>
      </w:r>
      <w:r w:rsidR="000E7165">
        <w:t xml:space="preserve">an average of </w:t>
      </w:r>
      <w:r w:rsidR="00AD1D74">
        <w:t>7.2</w:t>
      </w:r>
      <w:r>
        <w:t xml:space="preserve"> MW of load impacts, compared to an approved load shed level of 1</w:t>
      </w:r>
      <w:r w:rsidR="00AD1D74">
        <w:t>0</w:t>
      </w:r>
      <w:r>
        <w:t>.</w:t>
      </w:r>
      <w:r w:rsidR="00AD1D74">
        <w:t>1</w:t>
      </w:r>
      <w:r>
        <w:t xml:space="preserve"> MW.</w:t>
      </w:r>
    </w:p>
    <w:p w:rsidR="00576DCE" w:rsidRDefault="00576DCE" w:rsidP="00576DCE"/>
    <w:p w:rsidR="00576DCE" w:rsidRPr="00401B10" w:rsidRDefault="00576DCE" w:rsidP="00576DCE">
      <w:pPr>
        <w:pStyle w:val="TableCaption"/>
      </w:pPr>
      <w:bookmarkStart w:id="119" w:name="_Toc414545916"/>
      <w:r w:rsidRPr="00401B10">
        <w:lastRenderedPageBreak/>
        <w:t xml:space="preserve">Table </w:t>
      </w:r>
      <w:r>
        <w:t>5–1</w:t>
      </w:r>
      <w:r w:rsidR="00E10867">
        <w:t>3</w:t>
      </w:r>
      <w:r w:rsidRPr="00401B10">
        <w:t xml:space="preserve">: Load Impacts </w:t>
      </w:r>
      <w:r>
        <w:t>of TA/TI Participants</w:t>
      </w:r>
      <w:r w:rsidRPr="00401B10">
        <w:t xml:space="preserve"> – </w:t>
      </w:r>
      <w:r>
        <w:rPr>
          <w:i/>
        </w:rPr>
        <w:t>SC</w:t>
      </w:r>
      <w:r w:rsidRPr="00401B10">
        <w:rPr>
          <w:i/>
        </w:rPr>
        <w:t xml:space="preserve">E </w:t>
      </w:r>
      <w:r w:rsidR="001F6B12">
        <w:rPr>
          <w:i/>
        </w:rPr>
        <w:t>AMP</w:t>
      </w:r>
      <w:bookmarkEnd w:id="119"/>
    </w:p>
    <w:p w:rsidR="00576DCE" w:rsidRDefault="00ED7EBA" w:rsidP="000E7165">
      <w:pPr>
        <w:jc w:val="center"/>
      </w:pPr>
      <w:r w:rsidRPr="00ED7EBA">
        <w:rPr>
          <w:noProof/>
        </w:rPr>
        <w:drawing>
          <wp:inline distT="0" distB="0" distL="0" distR="0" wp14:anchorId="17336C92" wp14:editId="2AD8CCB2">
            <wp:extent cx="5052060" cy="3421380"/>
            <wp:effectExtent l="0" t="0" r="0" b="762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052060" cy="3421380"/>
                    </a:xfrm>
                    <a:prstGeom prst="rect">
                      <a:avLst/>
                    </a:prstGeom>
                    <a:noFill/>
                    <a:ln>
                      <a:noFill/>
                    </a:ln>
                  </pic:spPr>
                </pic:pic>
              </a:graphicData>
            </a:graphic>
          </wp:inline>
        </w:drawing>
      </w:r>
    </w:p>
    <w:p w:rsidR="006F3C04" w:rsidRDefault="006F3C04" w:rsidP="00576DCE"/>
    <w:p w:rsidR="00576DCE" w:rsidRDefault="00576DCE" w:rsidP="00576DCE">
      <w:r>
        <w:t>Table 5</w:t>
      </w:r>
      <w:r w:rsidR="00D7314E">
        <w:t>–</w:t>
      </w:r>
      <w:r>
        <w:softHyphen/>
        <w:t>1</w:t>
      </w:r>
      <w:r w:rsidR="00E10867">
        <w:t>4</w:t>
      </w:r>
      <w:r>
        <w:t xml:space="preserve"> shows results for AutoDR participants</w:t>
      </w:r>
      <w:r w:rsidR="000E7165">
        <w:t xml:space="preserve"> in AMP</w:t>
      </w:r>
      <w:r>
        <w:t xml:space="preserve">. </w:t>
      </w:r>
      <w:r w:rsidR="00AD1D74">
        <w:t xml:space="preserve">Results are again differentiated by product type. Through June, 354 </w:t>
      </w:r>
      <w:r>
        <w:t xml:space="preserve">AutoDR participants </w:t>
      </w:r>
      <w:r w:rsidR="00AD1D74">
        <w:t xml:space="preserve">in the DO 1-4 Hour product </w:t>
      </w:r>
      <w:r>
        <w:t xml:space="preserve">provided </w:t>
      </w:r>
      <w:r w:rsidR="000E7165">
        <w:t>an average of about 1</w:t>
      </w:r>
      <w:r w:rsidR="00AD1D74">
        <w:t>7.3</w:t>
      </w:r>
      <w:r>
        <w:t xml:space="preserve"> MW</w:t>
      </w:r>
      <w:r w:rsidR="00444D6B">
        <w:t xml:space="preserve"> in AMP load impacts</w:t>
      </w:r>
      <w:r>
        <w:t xml:space="preserve">, compared to the </w:t>
      </w:r>
      <w:r w:rsidR="000E7165">
        <w:t>load shed test</w:t>
      </w:r>
      <w:r>
        <w:t xml:space="preserve"> level of </w:t>
      </w:r>
      <w:r w:rsidR="000E7165">
        <w:t xml:space="preserve">approximately </w:t>
      </w:r>
      <w:r>
        <w:t>2</w:t>
      </w:r>
      <w:r w:rsidR="00AD1D74">
        <w:t>6.5</w:t>
      </w:r>
      <w:r>
        <w:t xml:space="preserve"> MW.</w:t>
      </w:r>
      <w:r w:rsidR="00AD1D74">
        <w:t xml:space="preserve"> The DO 1-6 product included 170 AutoDR participants, who reduced load by an average of 15 MW, out of the load shed test amount of 26.7 MW.</w:t>
      </w:r>
    </w:p>
    <w:p w:rsidR="00576DCE" w:rsidRDefault="00576DCE" w:rsidP="00576DCE"/>
    <w:p w:rsidR="00576DCE" w:rsidRPr="00401B10" w:rsidRDefault="00576DCE" w:rsidP="00F75DEA">
      <w:pPr>
        <w:pStyle w:val="TableCaption"/>
        <w:keepLines/>
      </w:pPr>
      <w:bookmarkStart w:id="120" w:name="_Toc414545917"/>
      <w:r w:rsidRPr="00401B10">
        <w:lastRenderedPageBreak/>
        <w:t xml:space="preserve">Table </w:t>
      </w:r>
      <w:r>
        <w:t>5–1</w:t>
      </w:r>
      <w:r w:rsidR="00E10867">
        <w:t>4</w:t>
      </w:r>
      <w:r w:rsidRPr="00401B10">
        <w:t xml:space="preserve">: Load Impacts </w:t>
      </w:r>
      <w:r>
        <w:t>of AutoDR Participants</w:t>
      </w:r>
      <w:r w:rsidRPr="00401B10">
        <w:t xml:space="preserve"> – </w:t>
      </w:r>
      <w:r>
        <w:rPr>
          <w:i/>
        </w:rPr>
        <w:t>SC</w:t>
      </w:r>
      <w:r w:rsidRPr="00401B10">
        <w:rPr>
          <w:i/>
        </w:rPr>
        <w:t xml:space="preserve">E </w:t>
      </w:r>
      <w:r w:rsidR="001F6B12">
        <w:rPr>
          <w:i/>
        </w:rPr>
        <w:t>AMP</w:t>
      </w:r>
      <w:bookmarkEnd w:id="120"/>
    </w:p>
    <w:p w:rsidR="00F93512" w:rsidRDefault="005A2908" w:rsidP="000E7165">
      <w:pPr>
        <w:jc w:val="center"/>
      </w:pPr>
      <w:r w:rsidRPr="005A2908">
        <w:rPr>
          <w:noProof/>
        </w:rPr>
        <w:drawing>
          <wp:inline distT="0" distB="0" distL="0" distR="0" wp14:anchorId="5A319038" wp14:editId="3A76A017">
            <wp:extent cx="5052060" cy="3345180"/>
            <wp:effectExtent l="0" t="0" r="0" b="762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052060" cy="3345180"/>
                    </a:xfrm>
                    <a:prstGeom prst="rect">
                      <a:avLst/>
                    </a:prstGeom>
                    <a:noFill/>
                    <a:ln>
                      <a:noFill/>
                    </a:ln>
                  </pic:spPr>
                </pic:pic>
              </a:graphicData>
            </a:graphic>
          </wp:inline>
        </w:drawing>
      </w:r>
    </w:p>
    <w:p w:rsidR="00813579" w:rsidRDefault="001F1145" w:rsidP="00813579">
      <w:r>
        <w:br w:type="page"/>
      </w:r>
    </w:p>
    <w:p w:rsidR="00813579" w:rsidRDefault="00813579" w:rsidP="00782932">
      <w:pPr>
        <w:pStyle w:val="Heading1"/>
      </w:pPr>
      <w:bookmarkStart w:id="121" w:name="_Toc346119243"/>
      <w:bookmarkStart w:id="122" w:name="_Toc382566007"/>
      <w:bookmarkStart w:id="123" w:name="_Toc415231777"/>
      <w:r>
        <w:rPr>
          <w:i/>
        </w:rPr>
        <w:lastRenderedPageBreak/>
        <w:t>Ex-ante</w:t>
      </w:r>
      <w:r>
        <w:t xml:space="preserve"> Load Impact Forecast</w:t>
      </w:r>
      <w:bookmarkEnd w:id="121"/>
      <w:r>
        <w:t>s</w:t>
      </w:r>
      <w:bookmarkEnd w:id="122"/>
      <w:bookmarkEnd w:id="123"/>
    </w:p>
    <w:p w:rsidR="00813579" w:rsidRDefault="00813579" w:rsidP="00813579">
      <w:r>
        <w:t xml:space="preserve">This section describes both the </w:t>
      </w:r>
      <w:r w:rsidRPr="00B007EF">
        <w:rPr>
          <w:i/>
        </w:rPr>
        <w:t>process</w:t>
      </w:r>
      <w:r>
        <w:t xml:space="preserve"> used to develop the </w:t>
      </w:r>
      <w:r>
        <w:rPr>
          <w:i/>
        </w:rPr>
        <w:t>ex-ante</w:t>
      </w:r>
      <w:r>
        <w:t xml:space="preserve"> load impact forecasts for </w:t>
      </w:r>
      <w:r w:rsidR="00B007EF">
        <w:t xml:space="preserve">each utility’s </w:t>
      </w:r>
      <w:r>
        <w:t xml:space="preserve">aggregator programs, and the </w:t>
      </w:r>
      <w:r w:rsidR="00B007EF" w:rsidRPr="00B007EF">
        <w:rPr>
          <w:i/>
        </w:rPr>
        <w:t>values</w:t>
      </w:r>
      <w:r w:rsidR="00B007EF">
        <w:t xml:space="preserve"> of the </w:t>
      </w:r>
      <w:r>
        <w:t>forecast</w:t>
      </w:r>
      <w:r w:rsidR="00B007EF">
        <w:t xml:space="preserve"> load impact</w:t>
      </w:r>
      <w:r>
        <w:t>s. The first two sub-sections discuss requirements for the forecasts and the methods used to meet those requirements. The following sub-sections present forecasts for PG&amp;E’s CBP and AMP programs</w:t>
      </w:r>
      <w:r w:rsidR="00B007EF">
        <w:t xml:space="preserve">, </w:t>
      </w:r>
      <w:r>
        <w:t>SCE’s CBP and AMP programs</w:t>
      </w:r>
      <w:r w:rsidR="00B007EF">
        <w:t xml:space="preserve">, and </w:t>
      </w:r>
      <w:r>
        <w:t>SDG&amp;E’s CBP program.</w:t>
      </w:r>
    </w:p>
    <w:p w:rsidR="00813579" w:rsidRDefault="00813579" w:rsidP="00813579">
      <w:pPr>
        <w:pStyle w:val="Heading2"/>
      </w:pPr>
      <w:bookmarkStart w:id="124" w:name="_Toc382566008"/>
      <w:bookmarkStart w:id="125" w:name="_Toc415231778"/>
      <w:r>
        <w:t xml:space="preserve">6.1 </w:t>
      </w:r>
      <w:r>
        <w:rPr>
          <w:i/>
        </w:rPr>
        <w:t>Ex-ante</w:t>
      </w:r>
      <w:r>
        <w:t xml:space="preserve"> Load Impact Requirements</w:t>
      </w:r>
      <w:bookmarkEnd w:id="124"/>
      <w:bookmarkEnd w:id="125"/>
    </w:p>
    <w:p w:rsidR="00813579" w:rsidRDefault="00813579" w:rsidP="00813579">
      <w:pPr>
        <w:spacing w:after="240"/>
      </w:pPr>
      <w:r>
        <w:t>The DR Load Impact Evaluation Protocols require that hourly load impact forecasts for event-based DR resources must be reported at the program level and by LCA for the following scenarios:</w:t>
      </w:r>
    </w:p>
    <w:p w:rsidR="00813579" w:rsidRDefault="00813579" w:rsidP="00813579">
      <w:pPr>
        <w:numPr>
          <w:ilvl w:val="0"/>
          <w:numId w:val="21"/>
        </w:numPr>
        <w:tabs>
          <w:tab w:val="num" w:pos="-360"/>
        </w:tabs>
      </w:pPr>
      <w:r>
        <w:t>For a typical event day in each year; and</w:t>
      </w:r>
    </w:p>
    <w:p w:rsidR="00813579" w:rsidRDefault="00813579" w:rsidP="00813579">
      <w:pPr>
        <w:numPr>
          <w:ilvl w:val="0"/>
          <w:numId w:val="21"/>
        </w:numPr>
        <w:tabs>
          <w:tab w:val="num" w:pos="-360"/>
        </w:tabs>
      </w:pPr>
      <w:r>
        <w:t>For the monthly system peak load day in each month for which the resource is available;</w:t>
      </w:r>
    </w:p>
    <w:p w:rsidR="00813579" w:rsidRDefault="00813579" w:rsidP="00813579">
      <w:pPr>
        <w:spacing w:before="240" w:after="240"/>
      </w:pPr>
      <w:r>
        <w:t>under both:</w:t>
      </w:r>
    </w:p>
    <w:p w:rsidR="00813579" w:rsidRDefault="00813579" w:rsidP="00813579">
      <w:pPr>
        <w:numPr>
          <w:ilvl w:val="0"/>
          <w:numId w:val="22"/>
        </w:numPr>
        <w:tabs>
          <w:tab w:val="num" w:pos="-360"/>
        </w:tabs>
      </w:pPr>
      <w:r>
        <w:t>1-in-2 weather conditions, and</w:t>
      </w:r>
    </w:p>
    <w:p w:rsidR="00813579" w:rsidRDefault="00813579" w:rsidP="00813579">
      <w:pPr>
        <w:numPr>
          <w:ilvl w:val="0"/>
          <w:numId w:val="22"/>
        </w:numPr>
        <w:tabs>
          <w:tab w:val="num" w:pos="-360"/>
        </w:tabs>
      </w:pPr>
      <w:r>
        <w:t>1-in-10 weather conditions</w:t>
      </w:r>
      <w:r w:rsidR="00B007EF">
        <w:t>;</w:t>
      </w:r>
      <w:r w:rsidR="00B007EF">
        <w:rPr>
          <w:rStyle w:val="FootnoteReference"/>
        </w:rPr>
        <w:footnoteReference w:id="15"/>
      </w:r>
    </w:p>
    <w:p w:rsidR="00813579" w:rsidRDefault="00813579" w:rsidP="00813579">
      <w:pPr>
        <w:spacing w:before="240" w:after="240"/>
      </w:pPr>
      <w:r>
        <w:t>at both:</w:t>
      </w:r>
    </w:p>
    <w:p w:rsidR="00813579" w:rsidRDefault="00813579" w:rsidP="00813579">
      <w:pPr>
        <w:numPr>
          <w:ilvl w:val="0"/>
          <w:numId w:val="22"/>
        </w:numPr>
        <w:tabs>
          <w:tab w:val="num" w:pos="-360"/>
        </w:tabs>
      </w:pPr>
      <w:r>
        <w:t>the program level (</w:t>
      </w:r>
      <w:r>
        <w:rPr>
          <w:i/>
        </w:rPr>
        <w:t>i.e.</w:t>
      </w:r>
      <w:r>
        <w:t>, in which only the program in question is called), and</w:t>
      </w:r>
    </w:p>
    <w:p w:rsidR="00813579" w:rsidRDefault="00813579" w:rsidP="00813579">
      <w:pPr>
        <w:numPr>
          <w:ilvl w:val="0"/>
          <w:numId w:val="22"/>
        </w:numPr>
        <w:tabs>
          <w:tab w:val="num" w:pos="-360"/>
        </w:tabs>
      </w:pPr>
      <w:r>
        <w:t>the portfolio level (</w:t>
      </w:r>
      <w:r>
        <w:rPr>
          <w:i/>
        </w:rPr>
        <w:t>i.e.</w:t>
      </w:r>
      <w:r>
        <w:t>, in which all demand response programs are called).</w:t>
      </w:r>
    </w:p>
    <w:p w:rsidR="00813579" w:rsidRDefault="00813579" w:rsidP="00813579"/>
    <w:p w:rsidR="00813579" w:rsidRDefault="00813579" w:rsidP="00813579">
      <w:r>
        <w:t>For the aggregator programs, there is no difference between the program- and portfolio-level load impacts</w:t>
      </w:r>
      <w:r w:rsidR="00B007EF">
        <w:t>.</w:t>
      </w:r>
    </w:p>
    <w:p w:rsidR="00813579" w:rsidRDefault="00813579" w:rsidP="00813579">
      <w:pPr>
        <w:pStyle w:val="Heading2"/>
      </w:pPr>
      <w:bookmarkStart w:id="126" w:name="_Toc382566009"/>
      <w:bookmarkStart w:id="127" w:name="_Toc415231779"/>
      <w:r>
        <w:t>6.2 Description of Methods</w:t>
      </w:r>
      <w:bookmarkEnd w:id="126"/>
      <w:bookmarkEnd w:id="127"/>
    </w:p>
    <w:p w:rsidR="00813579" w:rsidRDefault="00813579" w:rsidP="00813579">
      <w:r>
        <w:t xml:space="preserve">This section describes the methods used to develop the relevant groups of customers, to develop reference loads for the relevant customer types and event day-types, and to develop load impacts for a typical event day.  </w:t>
      </w:r>
    </w:p>
    <w:p w:rsidR="00813579" w:rsidRDefault="00813579" w:rsidP="00813579">
      <w:pPr>
        <w:pStyle w:val="Heading3"/>
        <w:rPr>
          <w:sz w:val="22"/>
          <w:szCs w:val="22"/>
        </w:rPr>
      </w:pPr>
      <w:bookmarkStart w:id="128" w:name="_Toc382566010"/>
      <w:bookmarkStart w:id="129" w:name="_Toc326224655"/>
      <w:bookmarkStart w:id="130" w:name="_Toc289180092"/>
      <w:bookmarkStart w:id="131" w:name="_Toc257708625"/>
      <w:bookmarkStart w:id="132" w:name="_Toc252887013"/>
      <w:bookmarkStart w:id="133" w:name="_Toc227658380"/>
      <w:bookmarkStart w:id="134" w:name="_Toc415231780"/>
      <w:r>
        <w:rPr>
          <w:sz w:val="22"/>
          <w:szCs w:val="22"/>
        </w:rPr>
        <w:t>6.2.1 Development of Customer Groups</w:t>
      </w:r>
      <w:bookmarkEnd w:id="128"/>
      <w:bookmarkEnd w:id="129"/>
      <w:bookmarkEnd w:id="130"/>
      <w:bookmarkEnd w:id="131"/>
      <w:bookmarkEnd w:id="132"/>
      <w:bookmarkEnd w:id="133"/>
      <w:bookmarkEnd w:id="134"/>
    </w:p>
    <w:p w:rsidR="00813579" w:rsidRDefault="008B2730" w:rsidP="00813579">
      <w:r>
        <w:t xml:space="preserve">The basic customer group that serves as the basis for developing </w:t>
      </w:r>
      <w:r w:rsidRPr="00032579">
        <w:rPr>
          <w:i/>
        </w:rPr>
        <w:t>ex-ante</w:t>
      </w:r>
      <w:r>
        <w:t xml:space="preserve"> load impacts is each utilities’ LCAs. </w:t>
      </w:r>
      <w:r w:rsidR="00813579">
        <w:t xml:space="preserve">For PG&amp;E’s programs, </w:t>
      </w:r>
      <w:r w:rsidR="00595F10">
        <w:t>service accounts</w:t>
      </w:r>
      <w:r>
        <w:t xml:space="preserve"> are additionally </w:t>
      </w:r>
      <w:r w:rsidR="00813579">
        <w:t>assigned to one of three size groups</w:t>
      </w:r>
      <w:r>
        <w:t>, as follows</w:t>
      </w:r>
      <w:r w:rsidR="00813579">
        <w:t>:</w:t>
      </w:r>
    </w:p>
    <w:p w:rsidR="00813579" w:rsidRDefault="00813579" w:rsidP="00813579">
      <w:pPr>
        <w:numPr>
          <w:ilvl w:val="0"/>
          <w:numId w:val="23"/>
        </w:numPr>
        <w:tabs>
          <w:tab w:val="num" w:pos="-360"/>
        </w:tabs>
      </w:pPr>
      <w:r>
        <w:t>Small – maximum demand less than 20 kW;</w:t>
      </w:r>
    </w:p>
    <w:p w:rsidR="00813579" w:rsidRDefault="00813579" w:rsidP="00813579">
      <w:pPr>
        <w:numPr>
          <w:ilvl w:val="0"/>
          <w:numId w:val="23"/>
        </w:numPr>
        <w:tabs>
          <w:tab w:val="num" w:pos="-360"/>
        </w:tabs>
      </w:pPr>
      <w:r>
        <w:lastRenderedPageBreak/>
        <w:t>Medium – maximum demand between 20 and 199 kW;</w:t>
      </w:r>
    </w:p>
    <w:p w:rsidR="00813579" w:rsidRDefault="00813579" w:rsidP="00813579">
      <w:pPr>
        <w:numPr>
          <w:ilvl w:val="0"/>
          <w:numId w:val="23"/>
        </w:numPr>
        <w:tabs>
          <w:tab w:val="num" w:pos="-360"/>
        </w:tabs>
      </w:pPr>
      <w:r>
        <w:t>Large – maximum demand greater than or equal to 200 kW.</w:t>
      </w:r>
    </w:p>
    <w:p w:rsidR="00813579" w:rsidRDefault="00813579" w:rsidP="00813579"/>
    <w:p w:rsidR="00813579" w:rsidRDefault="00813579" w:rsidP="00813579">
      <w:r>
        <w:t xml:space="preserve">The total number of customer “cells” developed </w:t>
      </w:r>
      <w:r w:rsidR="00032579">
        <w:t xml:space="preserve">for PG&amp;E </w:t>
      </w:r>
      <w:r>
        <w:t xml:space="preserve">is therefore equal to 24 (= 3 size groups x 8 LCAs).  </w:t>
      </w:r>
    </w:p>
    <w:p w:rsidR="00813579" w:rsidRDefault="00813579" w:rsidP="00813579">
      <w:pPr>
        <w:pStyle w:val="Heading3"/>
        <w:rPr>
          <w:sz w:val="22"/>
          <w:szCs w:val="22"/>
        </w:rPr>
      </w:pPr>
      <w:bookmarkStart w:id="135" w:name="_Toc382566011"/>
      <w:bookmarkStart w:id="136" w:name="_Toc326224656"/>
      <w:bookmarkStart w:id="137" w:name="_Toc289180093"/>
      <w:bookmarkStart w:id="138" w:name="_Toc257708626"/>
      <w:bookmarkStart w:id="139" w:name="_Toc252887014"/>
      <w:bookmarkStart w:id="140" w:name="_Toc227658381"/>
      <w:bookmarkStart w:id="141" w:name="_Toc415231781"/>
      <w:r>
        <w:rPr>
          <w:sz w:val="22"/>
          <w:szCs w:val="22"/>
        </w:rPr>
        <w:t>6.2.2 Development of Reference Loads and Load Impacts</w:t>
      </w:r>
      <w:bookmarkEnd w:id="135"/>
      <w:bookmarkEnd w:id="136"/>
      <w:bookmarkEnd w:id="137"/>
      <w:bookmarkEnd w:id="138"/>
      <w:bookmarkEnd w:id="139"/>
      <w:bookmarkEnd w:id="140"/>
      <w:bookmarkEnd w:id="141"/>
    </w:p>
    <w:p w:rsidR="00813579" w:rsidRDefault="00813579" w:rsidP="00813579">
      <w:r>
        <w:t xml:space="preserve">Reference loads and load impacts for the above </w:t>
      </w:r>
      <w:r w:rsidR="00032579">
        <w:t>customer groups</w:t>
      </w:r>
      <w:r>
        <w:t xml:space="preserve"> were developed in the following series of steps:</w:t>
      </w:r>
    </w:p>
    <w:p w:rsidR="00813579" w:rsidRDefault="00813579" w:rsidP="00813579"/>
    <w:p w:rsidR="00813579" w:rsidRDefault="00813579" w:rsidP="00813579">
      <w:pPr>
        <w:numPr>
          <w:ilvl w:val="0"/>
          <w:numId w:val="24"/>
        </w:numPr>
      </w:pPr>
      <w:r>
        <w:t>Define data sources;</w:t>
      </w:r>
    </w:p>
    <w:p w:rsidR="00813579" w:rsidRDefault="00813579" w:rsidP="00813579">
      <w:pPr>
        <w:numPr>
          <w:ilvl w:val="0"/>
          <w:numId w:val="24"/>
        </w:numPr>
      </w:pPr>
      <w:r>
        <w:t xml:space="preserve">Estimate </w:t>
      </w:r>
      <w:r>
        <w:rPr>
          <w:i/>
        </w:rPr>
        <w:t>ex-ante</w:t>
      </w:r>
      <w:r>
        <w:t xml:space="preserve"> regressions and simulate reference loads by service account and scenario;</w:t>
      </w:r>
    </w:p>
    <w:p w:rsidR="00813579" w:rsidRDefault="00813579" w:rsidP="00813579">
      <w:pPr>
        <w:numPr>
          <w:ilvl w:val="0"/>
          <w:numId w:val="24"/>
        </w:numPr>
      </w:pPr>
      <w:r>
        <w:t xml:space="preserve">Calculate percentage load impacts from </w:t>
      </w:r>
      <w:r>
        <w:rPr>
          <w:i/>
        </w:rPr>
        <w:t>ex-post</w:t>
      </w:r>
      <w:r>
        <w:t xml:space="preserve"> results;</w:t>
      </w:r>
    </w:p>
    <w:p w:rsidR="00813579" w:rsidRDefault="00813579" w:rsidP="00813579">
      <w:pPr>
        <w:numPr>
          <w:ilvl w:val="0"/>
          <w:numId w:val="24"/>
        </w:numPr>
      </w:pPr>
      <w:r>
        <w:t>Apply percentage load impacts to the reference loads; and</w:t>
      </w:r>
    </w:p>
    <w:p w:rsidR="00813579" w:rsidRDefault="00813579" w:rsidP="00813579">
      <w:pPr>
        <w:numPr>
          <w:ilvl w:val="0"/>
          <w:numId w:val="24"/>
        </w:numPr>
      </w:pPr>
      <w:r>
        <w:t>Scale the reference loads using enrollment forecasts.</w:t>
      </w:r>
    </w:p>
    <w:p w:rsidR="00813579" w:rsidRDefault="00813579" w:rsidP="00813579"/>
    <w:p w:rsidR="00813579" w:rsidRDefault="00813579" w:rsidP="00813579">
      <w:r>
        <w:t>Each of these steps is described below.</w:t>
      </w:r>
    </w:p>
    <w:p w:rsidR="00813579" w:rsidRDefault="00813579" w:rsidP="00813579"/>
    <w:p w:rsidR="00813579" w:rsidRDefault="00813579" w:rsidP="00813579">
      <w:pPr>
        <w:pStyle w:val="ListParagraph"/>
        <w:numPr>
          <w:ilvl w:val="0"/>
          <w:numId w:val="25"/>
        </w:numPr>
      </w:pPr>
      <w:r>
        <w:rPr>
          <w:i/>
        </w:rPr>
        <w:t>Define data sources</w:t>
      </w:r>
      <w:r>
        <w:t xml:space="preserve">  </w:t>
      </w:r>
    </w:p>
    <w:p w:rsidR="00813579" w:rsidRDefault="00813579" w:rsidP="00813579">
      <w:pPr>
        <w:tabs>
          <w:tab w:val="left" w:pos="4140"/>
        </w:tabs>
      </w:pPr>
      <w:r>
        <w:t xml:space="preserve">For all three utilities and all program types, the reference loads are developed using data for customers enrolled </w:t>
      </w:r>
      <w:r w:rsidR="00032579">
        <w:t xml:space="preserve">and nominated </w:t>
      </w:r>
      <w:r>
        <w:t xml:space="preserve">during the 2014 program year. The percentage load impacts are developed using the estimated </w:t>
      </w:r>
      <w:r>
        <w:rPr>
          <w:i/>
        </w:rPr>
        <w:t>ex-post</w:t>
      </w:r>
      <w:r>
        <w:t xml:space="preserve"> load impacts for the same customers, using event-specific data for program years 201</w:t>
      </w:r>
      <w:r w:rsidR="00032579">
        <w:t>2</w:t>
      </w:r>
      <w:r>
        <w:t>, 201</w:t>
      </w:r>
      <w:r w:rsidR="00032579">
        <w:t>3</w:t>
      </w:r>
      <w:r>
        <w:t xml:space="preserve"> and 2014. </w:t>
      </w:r>
    </w:p>
    <w:p w:rsidR="00813579" w:rsidRDefault="00813579" w:rsidP="00813579">
      <w:pPr>
        <w:tabs>
          <w:tab w:val="left" w:pos="4140"/>
        </w:tabs>
      </w:pPr>
    </w:p>
    <w:p w:rsidR="00813579" w:rsidRDefault="00813579" w:rsidP="00813579">
      <w:pPr>
        <w:pStyle w:val="ListParagraph"/>
        <w:numPr>
          <w:ilvl w:val="0"/>
          <w:numId w:val="25"/>
        </w:numPr>
      </w:pPr>
      <w:r>
        <w:rPr>
          <w:i/>
        </w:rPr>
        <w:t>Simulate reference loads</w:t>
      </w:r>
      <w:r>
        <w:t xml:space="preserve">  </w:t>
      </w:r>
    </w:p>
    <w:p w:rsidR="00813579" w:rsidRDefault="00813579" w:rsidP="00813579">
      <w:r>
        <w:t>In order to develop refere</w:t>
      </w:r>
      <w:r w:rsidR="00032579">
        <w:t>nce loads, we first re-estimate</w:t>
      </w:r>
      <w:r>
        <w:t xml:space="preserve"> regression equations for each </w:t>
      </w:r>
      <w:r w:rsidR="00032579">
        <w:t>nominated</w:t>
      </w:r>
      <w:r>
        <w:t xml:space="preserve"> customer account, using load and weather data for the current program year. The resulting estimates </w:t>
      </w:r>
      <w:r w:rsidR="00032579">
        <w:t>a</w:t>
      </w:r>
      <w:r>
        <w:t xml:space="preserve">re used to simulate reference loads </w:t>
      </w:r>
      <w:r>
        <w:rPr>
          <w:i/>
        </w:rPr>
        <w:t>for each service account</w:t>
      </w:r>
      <w:r>
        <w:t xml:space="preserve"> under the various scenarios required by the Protocols (</w:t>
      </w:r>
      <w:r>
        <w:rPr>
          <w:i/>
        </w:rPr>
        <w:t>e.g.</w:t>
      </w:r>
      <w:r>
        <w:t xml:space="preserve">, the typical event day under 1-in-2 weather conditions).   </w:t>
      </w:r>
    </w:p>
    <w:p w:rsidR="00813579" w:rsidRDefault="00813579" w:rsidP="00813579"/>
    <w:p w:rsidR="00813579" w:rsidRDefault="00813579" w:rsidP="00813579">
      <w:pPr>
        <w:rPr>
          <w:rFonts w:ascii="Times New Roman" w:eastAsia="MS Mincho" w:hAnsi="Times New Roman"/>
          <w:szCs w:val="24"/>
          <w:lang w:eastAsia="ja-JP"/>
        </w:rPr>
      </w:pPr>
      <w:r>
        <w:t xml:space="preserve">The re-estimated regression equations </w:t>
      </w:r>
      <w:r w:rsidR="00032579">
        <w:t>a</w:t>
      </w:r>
      <w:r>
        <w:t xml:space="preserve">re similar in design to the </w:t>
      </w:r>
      <w:r>
        <w:rPr>
          <w:i/>
        </w:rPr>
        <w:t>ex-post</w:t>
      </w:r>
      <w:r>
        <w:t xml:space="preserve"> load impact equations described in Section 3.2, differing in two ways. First, the </w:t>
      </w:r>
      <w:r>
        <w:rPr>
          <w:i/>
        </w:rPr>
        <w:t>ex-ante</w:t>
      </w:r>
      <w:r w:rsidR="00032579">
        <w:t xml:space="preserve"> models exclude</w:t>
      </w:r>
      <w:r>
        <w:t xml:space="preserve"> the morning-usage variables. While these variables are useful for improving accuracy in estimating </w:t>
      </w:r>
      <w:r>
        <w:rPr>
          <w:i/>
        </w:rPr>
        <w:t>ex-post</w:t>
      </w:r>
      <w:r>
        <w:t xml:space="preserve"> load impacts for particular events, they complicate the use of the equations </w:t>
      </w:r>
      <w:r w:rsidR="00032579">
        <w:t>for</w:t>
      </w:r>
      <w:r>
        <w:t xml:space="preserve"> </w:t>
      </w:r>
      <w:r>
        <w:rPr>
          <w:i/>
        </w:rPr>
        <w:t>ex-ante</w:t>
      </w:r>
      <w:r>
        <w:t xml:space="preserve"> simulation</w:t>
      </w:r>
      <w:r w:rsidR="00032579">
        <w:t xml:space="preserve">, because </w:t>
      </w:r>
      <w:r>
        <w:t xml:space="preserve">they would </w:t>
      </w:r>
      <w:r w:rsidR="00032579">
        <w:t xml:space="preserve">essentially </w:t>
      </w:r>
      <w:r>
        <w:t>require a separate simulation of the level of the morning load</w:t>
      </w:r>
      <w:r w:rsidR="00032579">
        <w:t xml:space="preserve"> variable</w:t>
      </w:r>
      <w:r>
        <w:t xml:space="preserve">. The second difference between the </w:t>
      </w:r>
      <w:r>
        <w:rPr>
          <w:i/>
        </w:rPr>
        <w:t>ex-post</w:t>
      </w:r>
      <w:r>
        <w:t xml:space="preserve"> and </w:t>
      </w:r>
      <w:r>
        <w:rPr>
          <w:i/>
        </w:rPr>
        <w:t>ex-ante</w:t>
      </w:r>
      <w:r>
        <w:t xml:space="preserve"> models is that the </w:t>
      </w:r>
      <w:r>
        <w:rPr>
          <w:i/>
        </w:rPr>
        <w:t>ex-ante</w:t>
      </w:r>
      <w:r>
        <w:t xml:space="preserve"> models use CDH60 as the weather variables in place of the weather variables used in the </w:t>
      </w:r>
      <w:r>
        <w:rPr>
          <w:i/>
        </w:rPr>
        <w:t>ex-post</w:t>
      </w:r>
      <w:r>
        <w:t xml:space="preserve"> regressions. The primary reason for this is that </w:t>
      </w:r>
      <w:r>
        <w:rPr>
          <w:i/>
        </w:rPr>
        <w:t>ex-ante</w:t>
      </w:r>
      <w:r>
        <w:t xml:space="preserve"> weather days were selected based on current-day temperatures, not factoring in lagged values or humidity. Therefore, we determined that including a weather variable that is based on only current-day temperature is the most consistent way of reflecting the </w:t>
      </w:r>
      <w:r w:rsidR="00032579">
        <w:t xml:space="preserve">alternative </w:t>
      </w:r>
      <w:r>
        <w:t>1-in-2 and 1-in-10 weather conditions.</w:t>
      </w:r>
    </w:p>
    <w:p w:rsidR="00813579" w:rsidRDefault="00813579" w:rsidP="00813579"/>
    <w:p w:rsidR="00813579" w:rsidRDefault="00813579" w:rsidP="00813579">
      <w:r>
        <w:t xml:space="preserve">Once these models </w:t>
      </w:r>
      <w:r w:rsidR="00032579">
        <w:t>are estimated, we simulate</w:t>
      </w:r>
      <w:r>
        <w:t xml:space="preserve"> 24-hour load profiles </w:t>
      </w:r>
      <w:r w:rsidR="00032579">
        <w:t xml:space="preserve">for each customer account, </w:t>
      </w:r>
      <w:r>
        <w:t xml:space="preserve">for each required scenario. The typical event day was assumed to occur in August. Most of the differences across scenarios can be attributed to varying weather conditions. The definitions of the </w:t>
      </w:r>
      <w:r w:rsidR="00032579">
        <w:t xml:space="preserve">two sets of </w:t>
      </w:r>
      <w:r>
        <w:t>1-in-2 and 1-in-10 weather conditions</w:t>
      </w:r>
      <w:r w:rsidR="00032579">
        <w:t xml:space="preserve"> </w:t>
      </w:r>
      <w:r w:rsidR="00416610">
        <w:t>for each utility have been newly developed for this program year</w:t>
      </w:r>
      <w:r>
        <w:t xml:space="preserve">.  </w:t>
      </w:r>
    </w:p>
    <w:p w:rsidR="00813579" w:rsidRDefault="00813579" w:rsidP="00813579"/>
    <w:p w:rsidR="00813579" w:rsidRDefault="00813579" w:rsidP="00813579">
      <w:pPr>
        <w:ind w:left="720"/>
      </w:pPr>
      <w:r>
        <w:rPr>
          <w:i/>
        </w:rPr>
        <w:t>3) Calculate percentage load impacts</w:t>
      </w:r>
    </w:p>
    <w:p w:rsidR="00813579" w:rsidRDefault="00813579" w:rsidP="00813579">
      <w:r>
        <w:t xml:space="preserve">For each utility and program type, </w:t>
      </w:r>
      <w:r w:rsidR="00D00287">
        <w:t xml:space="preserve">we calculate </w:t>
      </w:r>
      <w:r>
        <w:t xml:space="preserve">percentage load impacts </w:t>
      </w:r>
      <w:r w:rsidR="00D00287">
        <w:t xml:space="preserve">for each relevant customer account. These are </w:t>
      </w:r>
      <w:r>
        <w:t xml:space="preserve">based on the </w:t>
      </w:r>
      <w:r>
        <w:rPr>
          <w:i/>
        </w:rPr>
        <w:t>ex-post</w:t>
      </w:r>
      <w:r>
        <w:t xml:space="preserve"> load impacts for each event during the 201</w:t>
      </w:r>
      <w:r w:rsidR="00D00287">
        <w:t>2</w:t>
      </w:r>
      <w:r>
        <w:t>, 201</w:t>
      </w:r>
      <w:r w:rsidR="00D00287">
        <w:t>3</w:t>
      </w:r>
      <w:r>
        <w:t xml:space="preserve"> and 2014 program </w:t>
      </w:r>
      <w:r w:rsidR="00D00287">
        <w:t>years. Specifically, we examine</w:t>
      </w:r>
      <w:r>
        <w:t xml:space="preserve"> only customers enrolled and n</w:t>
      </w:r>
      <w:r w:rsidR="00D00287">
        <w:t>ominated in PY2014, but include</w:t>
      </w:r>
      <w:r>
        <w:t xml:space="preserve"> available data from the 201</w:t>
      </w:r>
      <w:r w:rsidR="00D00287">
        <w:t>2 and 2013</w:t>
      </w:r>
      <w:r>
        <w:t xml:space="preserve"> program years for </w:t>
      </w:r>
      <w:r w:rsidR="00D00287">
        <w:t xml:space="preserve">those </w:t>
      </w:r>
      <w:r>
        <w:t xml:space="preserve">customers that were also nominated in </w:t>
      </w:r>
      <w:r w:rsidR="00D00287">
        <w:t>those years. This method allows</w:t>
      </w:r>
      <w:r>
        <w:t xml:space="preserve"> us to base the </w:t>
      </w:r>
      <w:r>
        <w:rPr>
          <w:i/>
        </w:rPr>
        <w:t>ex-ante</w:t>
      </w:r>
      <w:r>
        <w:t xml:space="preserve"> load impacts on a larger sample of events than just the current year, which should improve the reliability and consistency of the load impacts across forecasts.</w:t>
      </w:r>
    </w:p>
    <w:p w:rsidR="00813579" w:rsidRDefault="00813579" w:rsidP="00813579"/>
    <w:p w:rsidR="00813579" w:rsidRDefault="00813579" w:rsidP="00813579">
      <w:r>
        <w:t xml:space="preserve">For each service account, we calculate the average and standard deviation of the load impacts across the available event days for four </w:t>
      </w:r>
      <w:r w:rsidR="00D00287">
        <w:t>categories of hour</w:t>
      </w:r>
      <w:r>
        <w:t>s: event hours</w:t>
      </w:r>
      <w:r w:rsidR="00D00287">
        <w:t>;</w:t>
      </w:r>
      <w:r>
        <w:t xml:space="preserve"> hours </w:t>
      </w:r>
      <w:r w:rsidR="00D00287">
        <w:t xml:space="preserve">immediately </w:t>
      </w:r>
      <w:r>
        <w:t>adjacent to events</w:t>
      </w:r>
      <w:r w:rsidR="00D00287">
        <w:t>;</w:t>
      </w:r>
      <w:r>
        <w:t xml:space="preserve"> hours prior to</w:t>
      </w:r>
      <w:r w:rsidR="00D00287">
        <w:t>;</w:t>
      </w:r>
      <w:r>
        <w:t xml:space="preserve"> and hours following the adjacent hours (</w:t>
      </w:r>
      <w:r>
        <w:rPr>
          <w:i/>
        </w:rPr>
        <w:t>i.e</w:t>
      </w:r>
      <w:r>
        <w:t xml:space="preserve">., morning and late evening). These values </w:t>
      </w:r>
      <w:r w:rsidR="00D00287">
        <w:t xml:space="preserve">of load impacts for categories of hours </w:t>
      </w:r>
      <w:r>
        <w:t xml:space="preserve">are applied to the simulated reference loads to </w:t>
      </w:r>
      <w:r w:rsidR="00D00287">
        <w:t>produce</w:t>
      </w:r>
      <w:r>
        <w:t xml:space="preserve"> each customer’s hourly load impact forecast values.</w:t>
      </w:r>
    </w:p>
    <w:p w:rsidR="00813579" w:rsidRDefault="00813579" w:rsidP="00813579"/>
    <w:p w:rsidR="00813579" w:rsidRDefault="00813579" w:rsidP="00813579">
      <w:r>
        <w:t>For any given sub-group of customers (</w:t>
      </w:r>
      <w:r>
        <w:rPr>
          <w:i/>
        </w:rPr>
        <w:t>e.g.</w:t>
      </w:r>
      <w:r>
        <w:t>, CBP day-of customers greater than or equal to 200 kW in size</w:t>
      </w:r>
      <w:r w:rsidR="00D00287">
        <w:t>,</w:t>
      </w:r>
      <w:r>
        <w:t xml:space="preserve"> in the Greater Bay Area), we sum the observed loads, hourly load impacts and their variances across the applicable service accounts for reporting purposes.</w:t>
      </w:r>
    </w:p>
    <w:p w:rsidR="00813579" w:rsidRDefault="00813579" w:rsidP="00813579"/>
    <w:p w:rsidR="00813579" w:rsidRDefault="00813579" w:rsidP="00813579">
      <w:r>
        <w:t xml:space="preserve">We calculate percentage load impacts by the four hour types in order to “standardize” the load impacts for application to the </w:t>
      </w:r>
      <w:r>
        <w:rPr>
          <w:i/>
        </w:rPr>
        <w:t>ex-ante</w:t>
      </w:r>
      <w:r>
        <w:t xml:space="preserve"> forecast event window (1:00 to 6:00 p.m. in April through October). That is, it allows us to control for the fact that the historical (</w:t>
      </w:r>
      <w:r>
        <w:rPr>
          <w:i/>
        </w:rPr>
        <w:t>i.e.</w:t>
      </w:r>
      <w:r>
        <w:t xml:space="preserve">, </w:t>
      </w:r>
      <w:r>
        <w:rPr>
          <w:i/>
        </w:rPr>
        <w:t>ex-post</w:t>
      </w:r>
      <w:r>
        <w:t>) event hours can differ across</w:t>
      </w:r>
      <w:r w:rsidR="00D00287">
        <w:t xml:space="preserve"> programs,</w:t>
      </w:r>
      <w:r>
        <w:t xml:space="preserve"> customers</w:t>
      </w:r>
      <w:r w:rsidR="00D00287">
        <w:t>,</w:t>
      </w:r>
      <w:r>
        <w:t xml:space="preserve"> and event days, and generally differ from the </w:t>
      </w:r>
      <w:r>
        <w:rPr>
          <w:i/>
        </w:rPr>
        <w:t>ex-ante</w:t>
      </w:r>
      <w:r>
        <w:t xml:space="preserve"> event window. The use of the load impacts by hour</w:t>
      </w:r>
      <w:r w:rsidR="00D00287">
        <w:t>-</w:t>
      </w:r>
      <w:r>
        <w:t xml:space="preserve">type allows us to simulate load impacts as though all customers (within a program and notice level) are called for the same event window. </w:t>
      </w:r>
    </w:p>
    <w:p w:rsidR="00813579" w:rsidRDefault="00813579" w:rsidP="00813579"/>
    <w:p w:rsidR="00813579" w:rsidRDefault="00813579" w:rsidP="00813579">
      <w:r>
        <w:t>The uncertainty-adjusted load impacts (</w:t>
      </w:r>
      <w:r>
        <w:rPr>
          <w:i/>
        </w:rPr>
        <w:t>i.e.</w:t>
      </w:r>
      <w:r>
        <w:t>, the 10</w:t>
      </w:r>
      <w:r>
        <w:rPr>
          <w:vertAlign w:val="superscript"/>
        </w:rPr>
        <w:t>th</w:t>
      </w:r>
      <w:r>
        <w:t>, 30</w:t>
      </w:r>
      <w:r>
        <w:rPr>
          <w:vertAlign w:val="superscript"/>
        </w:rPr>
        <w:t>th</w:t>
      </w:r>
      <w:r>
        <w:t>, 50</w:t>
      </w:r>
      <w:r>
        <w:rPr>
          <w:vertAlign w:val="superscript"/>
        </w:rPr>
        <w:t>th</w:t>
      </w:r>
      <w:r>
        <w:t>, 70</w:t>
      </w:r>
      <w:r>
        <w:rPr>
          <w:vertAlign w:val="superscript"/>
        </w:rPr>
        <w:t>th</w:t>
      </w:r>
      <w:r>
        <w:t>, and 90</w:t>
      </w:r>
      <w:r>
        <w:rPr>
          <w:vertAlign w:val="superscript"/>
        </w:rPr>
        <w:t>th</w:t>
      </w:r>
      <w:r>
        <w:t xml:space="preserve"> percentile scenarios of load impacts) are based on the variability of each customer’s response across event days. That is, we calculate the standard deviation of each customer’s percentage load impact across the available event days. The square of the standard deviation (</w:t>
      </w:r>
      <w:r>
        <w:rPr>
          <w:i/>
        </w:rPr>
        <w:t>i.e.</w:t>
      </w:r>
      <w:r>
        <w:t xml:space="preserve">, the variance) is added across customers within each required subgroup. Each uncertainty-adjusted scenario is then calculated under the assumption that the load impacts are normally distributed with a mean equal to the total estimated load </w:t>
      </w:r>
      <w:r>
        <w:lastRenderedPageBreak/>
        <w:t>impact and a variance based on the variability of load impacts across event days.</w:t>
      </w:r>
      <w:r w:rsidR="00FC7181">
        <w:t xml:space="preserve"> For the average event</w:t>
      </w:r>
      <w:r w:rsidR="00C00AEA">
        <w:t>-</w:t>
      </w:r>
      <w:r w:rsidR="00FC7181">
        <w:t>hour</w:t>
      </w:r>
      <w:r w:rsidR="00C00AEA">
        <w:t xml:space="preserve"> (</w:t>
      </w:r>
      <w:r w:rsidR="00C00AEA">
        <w:rPr>
          <w:i/>
        </w:rPr>
        <w:t>i.e.</w:t>
      </w:r>
      <w:r w:rsidR="00C00AEA">
        <w:t>, the values in the bottom row in the Protocol table generators)</w:t>
      </w:r>
      <w:r w:rsidR="00FC7181">
        <w:t>, the variability of the load impacts across the scenarios is set to match the variability across each event hour.</w:t>
      </w:r>
      <w:r w:rsidR="00FC7181">
        <w:rPr>
          <w:rStyle w:val="FootnoteReference"/>
        </w:rPr>
        <w:footnoteReference w:id="16"/>
      </w:r>
    </w:p>
    <w:p w:rsidR="00813579" w:rsidRDefault="00813579" w:rsidP="00813579"/>
    <w:p w:rsidR="00813579" w:rsidRDefault="00813579" w:rsidP="00813579">
      <w:pPr>
        <w:pStyle w:val="ListParagraph"/>
        <w:numPr>
          <w:ilvl w:val="0"/>
          <w:numId w:val="26"/>
        </w:numPr>
      </w:pPr>
      <w:r>
        <w:rPr>
          <w:i/>
        </w:rPr>
        <w:t>Apply percentage load impacts to reference loads for each event scenario</w:t>
      </w:r>
      <w:r>
        <w:t xml:space="preserve">. </w:t>
      </w:r>
    </w:p>
    <w:p w:rsidR="00813579" w:rsidRDefault="00813579" w:rsidP="00813579">
      <w:r>
        <w:t xml:space="preserve">In this step, the percentage load impacts </w:t>
      </w:r>
      <w:r w:rsidR="00D00287">
        <w:t>a</w:t>
      </w:r>
      <w:r>
        <w:t xml:space="preserve">re applied to the reference loads for each scenario to produce all of the required reference loads, estimated event-day loads, and scenarios of load impacts. </w:t>
      </w:r>
      <w:r>
        <w:br/>
      </w:r>
    </w:p>
    <w:p w:rsidR="00813579" w:rsidRDefault="00813579" w:rsidP="00813579">
      <w:pPr>
        <w:pStyle w:val="ListParagraph"/>
        <w:numPr>
          <w:ilvl w:val="0"/>
          <w:numId w:val="26"/>
        </w:numPr>
      </w:pPr>
      <w:r>
        <w:rPr>
          <w:i/>
        </w:rPr>
        <w:t>Apply forecast enrollments to produce program-level load impacts</w:t>
      </w:r>
      <w:r>
        <w:t xml:space="preserve">. </w:t>
      </w:r>
    </w:p>
    <w:p w:rsidR="00813579" w:rsidRDefault="00813579" w:rsidP="00813579">
      <w:r>
        <w:t>The utilities provide the enrollment (nomination) forecasts. PG&amp;E provide</w:t>
      </w:r>
      <w:r w:rsidR="00D00287">
        <w:t>s</w:t>
      </w:r>
      <w:r>
        <w:t xml:space="preserve"> </w:t>
      </w:r>
      <w:r w:rsidR="00C87387">
        <w:t>monthly enrollments through 2025</w:t>
      </w:r>
      <w:r>
        <w:t xml:space="preserve"> by program and notice level, with separate enrollments provided by LCA and size group.</w:t>
      </w:r>
      <w:r>
        <w:rPr>
          <w:rStyle w:val="FootnoteReference"/>
        </w:rPr>
        <w:footnoteReference w:id="17"/>
      </w:r>
      <w:r w:rsidR="00C87387">
        <w:t xml:space="preserve"> SCE provides</w:t>
      </w:r>
      <w:r>
        <w:t xml:space="preserve"> monthly enrollments for 201</w:t>
      </w:r>
      <w:r w:rsidR="00C87387">
        <w:t>5</w:t>
      </w:r>
      <w:r>
        <w:t>, 201</w:t>
      </w:r>
      <w:r w:rsidR="00C87387">
        <w:t>6, and 2017</w:t>
      </w:r>
      <w:r>
        <w:t xml:space="preserve"> through 202</w:t>
      </w:r>
      <w:r w:rsidR="00C87387">
        <w:t>5</w:t>
      </w:r>
      <w:r>
        <w:t xml:space="preserve"> (under the assumption that enrollments remain fixed during that time period). SDG&amp;E expects enrollments to remain constant during the forecast period. The enrollments are then used to scale up the </w:t>
      </w:r>
      <w:r w:rsidR="00C87387">
        <w:t xml:space="preserve">per-customer </w:t>
      </w:r>
      <w:r>
        <w:t>reference loads and load impacts for each required scenario and customer subgroup.</w:t>
      </w:r>
      <w:r>
        <w:rPr>
          <w:rStyle w:val="FootnoteReference"/>
        </w:rPr>
        <w:t xml:space="preserve"> </w:t>
      </w:r>
      <w:r>
        <w:rPr>
          <w:rStyle w:val="FootnoteReference"/>
        </w:rPr>
        <w:footnoteReference w:id="18"/>
      </w:r>
    </w:p>
    <w:p w:rsidR="00813579" w:rsidRDefault="00813579" w:rsidP="00813579">
      <w:pPr>
        <w:pStyle w:val="Heading3"/>
        <w:rPr>
          <w:sz w:val="22"/>
          <w:szCs w:val="22"/>
        </w:rPr>
      </w:pPr>
      <w:bookmarkStart w:id="142" w:name="_Toc382566012"/>
      <w:bookmarkStart w:id="143" w:name="_Toc415231782"/>
      <w:r>
        <w:rPr>
          <w:sz w:val="22"/>
          <w:szCs w:val="22"/>
        </w:rPr>
        <w:t>6.2.3 Reporting ex-ante results</w:t>
      </w:r>
      <w:bookmarkEnd w:id="142"/>
      <w:bookmarkEnd w:id="143"/>
    </w:p>
    <w:p w:rsidR="00813579" w:rsidRDefault="00813579" w:rsidP="00813579">
      <w:r>
        <w:t xml:space="preserve">The next five sub-sections report </w:t>
      </w:r>
      <w:r>
        <w:rPr>
          <w:i/>
        </w:rPr>
        <w:t>ex-ante</w:t>
      </w:r>
      <w:r>
        <w:t xml:space="preserve"> load impacts for the aggregator programs sponsored by PG&amp;E (CBP and AMP), SCE (CBP and AMP), and SDG&amp;E (CBP) respectively. For each utility program and notice type (DA and DO), we provide summary information on forecasts</w:t>
      </w:r>
      <w:r w:rsidR="00C87387">
        <w:t xml:space="preserve"> of nominated </w:t>
      </w:r>
      <w:r w:rsidR="00595F10">
        <w:t>service accounts</w:t>
      </w:r>
      <w:r>
        <w:t xml:space="preserve">; the level of forecast load impacts; hourly profiles of reference loads and load impacts for typical event days; and the distribution of load impacts by </w:t>
      </w:r>
      <w:r w:rsidR="00C87387">
        <w:t>LCA</w:t>
      </w:r>
      <w:r>
        <w:t xml:space="preserve">. Comparisons to previous </w:t>
      </w:r>
      <w:r>
        <w:rPr>
          <w:i/>
        </w:rPr>
        <w:t>ex-ante</w:t>
      </w:r>
      <w:r>
        <w:t xml:space="preserve"> load impact forecasts and to </w:t>
      </w:r>
      <w:r>
        <w:rPr>
          <w:i/>
        </w:rPr>
        <w:t>ex-post</w:t>
      </w:r>
      <w:r>
        <w:t xml:space="preserve"> load impacts are discussed in Section 7. </w:t>
      </w:r>
    </w:p>
    <w:p w:rsidR="00813579" w:rsidRDefault="00813579" w:rsidP="00813579"/>
    <w:p w:rsidR="00813579" w:rsidRDefault="00813579" w:rsidP="00813579">
      <w:r>
        <w:t xml:space="preserve">Together, these summaries provide useful indicators of the anticipated changes in the forecasted load impacts across the various scenarios represented in the Protocol tables. </w:t>
      </w:r>
    </w:p>
    <w:p w:rsidR="00813579" w:rsidRDefault="00813579" w:rsidP="00813579">
      <w:r>
        <w:t>All of the tables required by the Protocols are provided in Appendices.</w:t>
      </w:r>
    </w:p>
    <w:p w:rsidR="00813579" w:rsidRDefault="00813579" w:rsidP="00813579">
      <w:pPr>
        <w:pStyle w:val="Heading2"/>
      </w:pPr>
      <w:bookmarkStart w:id="144" w:name="_Toc252887015"/>
      <w:bookmarkStart w:id="145" w:name="_Toc227658382"/>
      <w:bookmarkStart w:id="146" w:name="_Toc382566013"/>
      <w:bookmarkStart w:id="147" w:name="_Toc326224657"/>
      <w:bookmarkStart w:id="148" w:name="_Toc289180094"/>
      <w:bookmarkStart w:id="149" w:name="_Toc257708627"/>
      <w:bookmarkStart w:id="150" w:name="_Toc254952722"/>
      <w:bookmarkStart w:id="151" w:name="_Toc415231783"/>
      <w:r>
        <w:lastRenderedPageBreak/>
        <w:t xml:space="preserve">6.3 </w:t>
      </w:r>
      <w:bookmarkEnd w:id="144"/>
      <w:bookmarkEnd w:id="145"/>
      <w:r>
        <w:rPr>
          <w:i/>
        </w:rPr>
        <w:t>Ex-ante</w:t>
      </w:r>
      <w:r>
        <w:t xml:space="preserve"> Load Impacts for PG&amp;E’s CBP Program</w:t>
      </w:r>
      <w:bookmarkEnd w:id="146"/>
      <w:bookmarkEnd w:id="147"/>
      <w:bookmarkEnd w:id="148"/>
      <w:bookmarkEnd w:id="149"/>
      <w:bookmarkEnd w:id="150"/>
      <w:bookmarkEnd w:id="151"/>
    </w:p>
    <w:p w:rsidR="00813579" w:rsidRDefault="00813579" w:rsidP="00813579">
      <w:pPr>
        <w:pStyle w:val="Heading3"/>
      </w:pPr>
      <w:bookmarkStart w:id="152" w:name="_Toc382566014"/>
      <w:bookmarkStart w:id="153" w:name="_Toc415231784"/>
      <w:r>
        <w:t>6.3.1 Enrollment and load impact summary</w:t>
      </w:r>
      <w:bookmarkEnd w:id="152"/>
      <w:bookmarkEnd w:id="153"/>
    </w:p>
    <w:p w:rsidR="00813579" w:rsidRDefault="00813579" w:rsidP="00813579">
      <w:r>
        <w:t xml:space="preserve">PG&amp;E forecasts CBP nominations to remain constant across the forecast horizon at </w:t>
      </w:r>
      <w:r w:rsidR="00226117">
        <w:t>37</w:t>
      </w:r>
      <w:r>
        <w:t xml:space="preserve"> service accounts for the DA product and </w:t>
      </w:r>
      <w:r w:rsidR="00226117">
        <w:t>530</w:t>
      </w:r>
      <w:r>
        <w:t xml:space="preserve"> for the DO product. The resulting </w:t>
      </w:r>
      <w:r>
        <w:rPr>
          <w:i/>
        </w:rPr>
        <w:t>ex-ante</w:t>
      </w:r>
      <w:r>
        <w:t xml:space="preserve"> load impact forecasts for an August peak day in the two </w:t>
      </w:r>
      <w:r w:rsidR="00226117">
        <w:t xml:space="preserve">sets of </w:t>
      </w:r>
      <w:r>
        <w:t>weather scenarios are shown in Table 6.1 for the DA and DO product types.</w:t>
      </w:r>
    </w:p>
    <w:p w:rsidR="00813579" w:rsidRDefault="00813579" w:rsidP="00813579"/>
    <w:p w:rsidR="00813579" w:rsidRDefault="00813579" w:rsidP="00813579">
      <w:pPr>
        <w:pStyle w:val="TableCaption"/>
      </w:pPr>
      <w:bookmarkStart w:id="154" w:name="_Toc227658422"/>
      <w:bookmarkStart w:id="155" w:name="_Toc227022613"/>
      <w:bookmarkStart w:id="156" w:name="_Toc288466726"/>
      <w:bookmarkStart w:id="157" w:name="_Toc256781372"/>
      <w:bookmarkStart w:id="158" w:name="_Toc382565942"/>
      <w:bookmarkStart w:id="159" w:name="_Toc414545918"/>
      <w:r>
        <w:t xml:space="preserve">Table 6–1: Average Event-Hour Load Impacts (MW) for an August Peak Day in 1-in-2 and 1-in-10 Weather </w:t>
      </w:r>
      <w:bookmarkEnd w:id="154"/>
      <w:bookmarkEnd w:id="155"/>
      <w:r>
        <w:t xml:space="preserve">Conditions – </w:t>
      </w:r>
      <w:r>
        <w:rPr>
          <w:i/>
        </w:rPr>
        <w:t xml:space="preserve">PG&amp;E CBP </w:t>
      </w:r>
      <w:bookmarkEnd w:id="156"/>
      <w:bookmarkEnd w:id="157"/>
      <w:r>
        <w:rPr>
          <w:i/>
        </w:rPr>
        <w:t>DA and DO</w:t>
      </w:r>
      <w:bookmarkEnd w:id="158"/>
      <w:bookmarkEnd w:id="159"/>
    </w:p>
    <w:p w:rsidR="00813579" w:rsidRDefault="004259DC" w:rsidP="00813579">
      <w:pPr>
        <w:jc w:val="center"/>
      </w:pPr>
      <w:r w:rsidRPr="004259DC">
        <w:rPr>
          <w:noProof/>
        </w:rPr>
        <w:drawing>
          <wp:inline distT="0" distB="0" distL="0" distR="0" wp14:anchorId="73E873D6" wp14:editId="37B0BEA5">
            <wp:extent cx="3208020" cy="7391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208020" cy="739140"/>
                    </a:xfrm>
                    <a:prstGeom prst="rect">
                      <a:avLst/>
                    </a:prstGeom>
                    <a:noFill/>
                    <a:ln>
                      <a:noFill/>
                    </a:ln>
                  </pic:spPr>
                </pic:pic>
              </a:graphicData>
            </a:graphic>
          </wp:inline>
        </w:drawing>
      </w:r>
    </w:p>
    <w:p w:rsidR="00813579" w:rsidRDefault="00813579" w:rsidP="00813579"/>
    <w:p w:rsidR="00813579" w:rsidRDefault="00813579" w:rsidP="00813579">
      <w:r>
        <w:t xml:space="preserve">Figure 6–1 shows the distribution of load impacts by LCA for CBP DA and DO for an August peak day in a 1-in-2 </w:t>
      </w:r>
      <w:r w:rsidR="00DD379A">
        <w:t xml:space="preserve">utility-peak </w:t>
      </w:r>
      <w:r>
        <w:t xml:space="preserve">weather year. DA load impacts are concentrated </w:t>
      </w:r>
      <w:r w:rsidR="00A0737C">
        <w:t xml:space="preserve">largely </w:t>
      </w:r>
      <w:r>
        <w:t xml:space="preserve">outside of the seven LCAs. The bulk of DO load impacts occur in the Greater Bay Area, with the remainder spread across the Fresno </w:t>
      </w:r>
      <w:r w:rsidR="00226117">
        <w:t xml:space="preserve">and Other </w:t>
      </w:r>
      <w:r>
        <w:t>LCAs.</w:t>
      </w:r>
    </w:p>
    <w:p w:rsidR="00813579" w:rsidRDefault="00813579" w:rsidP="00813579"/>
    <w:p w:rsidR="00813579" w:rsidRDefault="00813579" w:rsidP="00813579">
      <w:pPr>
        <w:pStyle w:val="FigureCaption"/>
      </w:pPr>
      <w:bookmarkStart w:id="160" w:name="_Toc227658420"/>
      <w:bookmarkStart w:id="161" w:name="_Toc227022611"/>
      <w:bookmarkStart w:id="162" w:name="_Toc382565885"/>
      <w:bookmarkStart w:id="163" w:name="_Toc288467511"/>
      <w:bookmarkStart w:id="164" w:name="_Toc256781371"/>
      <w:bookmarkStart w:id="165" w:name="_Toc412549197"/>
      <w:r>
        <w:t xml:space="preserve">Figure 6–1: Distribution of </w:t>
      </w:r>
      <w:r>
        <w:rPr>
          <w:i/>
        </w:rPr>
        <w:t>Ex-Ante</w:t>
      </w:r>
      <w:r>
        <w:t xml:space="preserve"> Load Impacts by LCA for an August Peak Day in 2015 in </w:t>
      </w:r>
      <w:r>
        <w:br/>
        <w:t xml:space="preserve">1-in-2 </w:t>
      </w:r>
      <w:r w:rsidR="00825E3C">
        <w:t xml:space="preserve">Utility-Peak </w:t>
      </w:r>
      <w:r>
        <w:t>Weather Conditions</w:t>
      </w:r>
      <w:bookmarkEnd w:id="160"/>
      <w:bookmarkEnd w:id="161"/>
      <w:r>
        <w:t xml:space="preserve"> (</w:t>
      </w:r>
      <w:r>
        <w:rPr>
          <w:i/>
        </w:rPr>
        <w:t>PG&amp;E CBP</w:t>
      </w:r>
      <w:r>
        <w:t xml:space="preserve"> </w:t>
      </w:r>
      <w:r>
        <w:rPr>
          <w:i/>
        </w:rPr>
        <w:t>DA and DO</w:t>
      </w:r>
      <w:r>
        <w:t>)</w:t>
      </w:r>
      <w:bookmarkEnd w:id="162"/>
      <w:bookmarkEnd w:id="163"/>
      <w:bookmarkEnd w:id="164"/>
      <w:bookmarkEnd w:id="165"/>
    </w:p>
    <w:p w:rsidR="00813579" w:rsidRDefault="0061514C" w:rsidP="00813579">
      <w:pPr>
        <w:jc w:val="center"/>
      </w:pPr>
      <w:r w:rsidRPr="0061514C">
        <w:rPr>
          <w:noProof/>
        </w:rPr>
        <w:drawing>
          <wp:inline distT="0" distB="0" distL="0" distR="0">
            <wp:extent cx="5486400" cy="3976072"/>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486400" cy="3976072"/>
                    </a:xfrm>
                    <a:prstGeom prst="rect">
                      <a:avLst/>
                    </a:prstGeom>
                    <a:noFill/>
                    <a:ln>
                      <a:noFill/>
                    </a:ln>
                  </pic:spPr>
                </pic:pic>
              </a:graphicData>
            </a:graphic>
          </wp:inline>
        </w:drawing>
      </w:r>
    </w:p>
    <w:p w:rsidR="00813579" w:rsidRDefault="00813579" w:rsidP="00813579">
      <w:pPr>
        <w:jc w:val="center"/>
      </w:pPr>
    </w:p>
    <w:p w:rsidR="00813579" w:rsidRDefault="00813579" w:rsidP="00813579">
      <w:pPr>
        <w:pStyle w:val="Heading3"/>
      </w:pPr>
      <w:bookmarkStart w:id="166" w:name="_Toc382566015"/>
      <w:bookmarkStart w:id="167" w:name="_Toc415231785"/>
      <w:r>
        <w:t>6.3.2 Hourly reference loads and load impacts</w:t>
      </w:r>
      <w:bookmarkEnd w:id="166"/>
      <w:bookmarkEnd w:id="167"/>
    </w:p>
    <w:p w:rsidR="00813579" w:rsidRDefault="00813579" w:rsidP="00813579">
      <w:bookmarkStart w:id="168" w:name="_Toc326224661"/>
      <w:r>
        <w:t xml:space="preserve">Figure 6–2 shows the forecast reference load, event-day load, and load impacts for an August peak day in 2015 in 1-in-2 </w:t>
      </w:r>
      <w:r w:rsidR="00DD379A">
        <w:t xml:space="preserve">utility-peak </w:t>
      </w:r>
      <w:r>
        <w:t xml:space="preserve">weather conditions for CBP DA. Figure 6–3 shows comparable information for CBP DO. </w:t>
      </w:r>
    </w:p>
    <w:p w:rsidR="00813579" w:rsidRDefault="00813579" w:rsidP="00813579"/>
    <w:p w:rsidR="00813579" w:rsidRDefault="00813579" w:rsidP="00813579">
      <w:pPr>
        <w:pStyle w:val="FigureCaption"/>
      </w:pPr>
      <w:bookmarkStart w:id="169" w:name="_Toc256781369"/>
      <w:bookmarkStart w:id="170" w:name="_Toc288467507"/>
      <w:bookmarkStart w:id="171" w:name="_Toc382565886"/>
      <w:bookmarkStart w:id="172" w:name="_Toc412549198"/>
      <w:bookmarkStart w:id="173" w:name="OLE_LINK13"/>
      <w:bookmarkStart w:id="174" w:name="OLE_LINK20"/>
      <w:r>
        <w:t xml:space="preserve">Figure </w:t>
      </w:r>
      <w:bookmarkStart w:id="175" w:name="_Toc227658419"/>
      <w:bookmarkStart w:id="176" w:name="_Toc227022610"/>
      <w:r>
        <w:t xml:space="preserve">6–2: Hourly Event-Day Load Impacts for an August Peak Day in 2015 in 1-in-2 Weather Conditions </w:t>
      </w:r>
      <w:bookmarkEnd w:id="175"/>
      <w:bookmarkEnd w:id="176"/>
      <w:r>
        <w:t xml:space="preserve">– </w:t>
      </w:r>
      <w:r>
        <w:rPr>
          <w:i/>
        </w:rPr>
        <w:t>PG&amp;E CBP</w:t>
      </w:r>
      <w:r>
        <w:t xml:space="preserve"> </w:t>
      </w:r>
      <w:r>
        <w:rPr>
          <w:i/>
        </w:rPr>
        <w:t>DA</w:t>
      </w:r>
      <w:bookmarkEnd w:id="169"/>
      <w:bookmarkEnd w:id="170"/>
      <w:bookmarkEnd w:id="171"/>
      <w:bookmarkEnd w:id="172"/>
    </w:p>
    <w:p w:rsidR="00813579" w:rsidRDefault="009D4D52" w:rsidP="00DC28E9">
      <w:pPr>
        <w:jc w:val="center"/>
      </w:pPr>
      <w:bookmarkStart w:id="177" w:name="_Toc288467508"/>
      <w:bookmarkStart w:id="178" w:name="_Toc256781370"/>
      <w:bookmarkEnd w:id="173"/>
      <w:bookmarkEnd w:id="174"/>
      <w:r w:rsidRPr="009D4D52">
        <w:rPr>
          <w:noProof/>
        </w:rPr>
        <w:drawing>
          <wp:inline distT="0" distB="0" distL="0" distR="0" wp14:anchorId="37F29128" wp14:editId="6FB77FC0">
            <wp:extent cx="4965192" cy="336499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965192" cy="3364992"/>
                    </a:xfrm>
                    <a:prstGeom prst="rect">
                      <a:avLst/>
                    </a:prstGeom>
                    <a:noFill/>
                    <a:ln>
                      <a:noFill/>
                    </a:ln>
                  </pic:spPr>
                </pic:pic>
              </a:graphicData>
            </a:graphic>
          </wp:inline>
        </w:drawing>
      </w:r>
    </w:p>
    <w:p w:rsidR="00DC28E9" w:rsidRDefault="00DC28E9" w:rsidP="00DC28E9">
      <w:pPr>
        <w:jc w:val="center"/>
      </w:pPr>
    </w:p>
    <w:p w:rsidR="00813579" w:rsidRDefault="00813579" w:rsidP="00813579">
      <w:pPr>
        <w:pStyle w:val="FigureCaption"/>
      </w:pPr>
      <w:bookmarkStart w:id="179" w:name="_Toc382565887"/>
      <w:bookmarkStart w:id="180" w:name="_Toc412549199"/>
      <w:r>
        <w:lastRenderedPageBreak/>
        <w:t xml:space="preserve">Figure 6–3: Hourly Event-Day Load Impacts for an August Peak Day in 2015 in 1-in-2 Weather Conditions – </w:t>
      </w:r>
      <w:r>
        <w:rPr>
          <w:i/>
        </w:rPr>
        <w:t>PG&amp;E CBP DO</w:t>
      </w:r>
      <w:bookmarkEnd w:id="177"/>
      <w:bookmarkEnd w:id="178"/>
      <w:bookmarkEnd w:id="179"/>
      <w:bookmarkEnd w:id="180"/>
    </w:p>
    <w:p w:rsidR="00813579" w:rsidRDefault="009D4D52" w:rsidP="00813579">
      <w:pPr>
        <w:keepNext/>
        <w:spacing w:after="120"/>
        <w:jc w:val="center"/>
        <w:rPr>
          <w:b/>
        </w:rPr>
      </w:pPr>
      <w:r w:rsidRPr="009D4D52">
        <w:rPr>
          <w:noProof/>
        </w:rPr>
        <w:drawing>
          <wp:inline distT="0" distB="0" distL="0" distR="0" wp14:anchorId="6DACC8E1" wp14:editId="18A361BE">
            <wp:extent cx="5056632" cy="3429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056632" cy="3429000"/>
                    </a:xfrm>
                    <a:prstGeom prst="rect">
                      <a:avLst/>
                    </a:prstGeom>
                    <a:noFill/>
                    <a:ln>
                      <a:noFill/>
                    </a:ln>
                  </pic:spPr>
                </pic:pic>
              </a:graphicData>
            </a:graphic>
          </wp:inline>
        </w:drawing>
      </w:r>
    </w:p>
    <w:p w:rsidR="009D4D52" w:rsidRDefault="009D4D52" w:rsidP="00DC28E9">
      <w:pPr>
        <w:pStyle w:val="Heading2"/>
        <w:keepNext w:val="0"/>
      </w:pPr>
      <w:bookmarkStart w:id="181" w:name="_Toc382566016"/>
    </w:p>
    <w:p w:rsidR="00813579" w:rsidRDefault="00813579" w:rsidP="00DC28E9">
      <w:pPr>
        <w:pStyle w:val="Heading2"/>
        <w:keepNext w:val="0"/>
      </w:pPr>
      <w:bookmarkStart w:id="182" w:name="_Toc415231786"/>
      <w:r>
        <w:t xml:space="preserve">6.4 </w:t>
      </w:r>
      <w:r>
        <w:rPr>
          <w:i/>
        </w:rPr>
        <w:t>Ex-ante</w:t>
      </w:r>
      <w:r>
        <w:t xml:space="preserve"> Load Impacts for PG&amp;E’s AMP Program</w:t>
      </w:r>
      <w:bookmarkEnd w:id="181"/>
      <w:bookmarkEnd w:id="182"/>
    </w:p>
    <w:p w:rsidR="00813579" w:rsidRDefault="00813579" w:rsidP="00DC28E9">
      <w:pPr>
        <w:pStyle w:val="Heading3"/>
        <w:keepNext w:val="0"/>
      </w:pPr>
      <w:bookmarkStart w:id="183" w:name="_Toc382566017"/>
      <w:bookmarkStart w:id="184" w:name="_Toc415231787"/>
      <w:r>
        <w:t>6.4.1 Enrollment and load impact summary</w:t>
      </w:r>
      <w:bookmarkEnd w:id="183"/>
      <w:bookmarkEnd w:id="184"/>
    </w:p>
    <w:p w:rsidR="00954DAF" w:rsidRDefault="00954DAF" w:rsidP="00954DAF">
      <w:r>
        <w:t xml:space="preserve">The </w:t>
      </w:r>
      <w:r w:rsidRPr="00954DAF">
        <w:rPr>
          <w:i/>
        </w:rPr>
        <w:t>ex-ante</w:t>
      </w:r>
      <w:r>
        <w:t xml:space="preserve"> load impact for 2015 is given by the load reduction capacity nominated by the aggregators, adjusted by their performance in 2013 and 2014. PG&amp;E estimates the enrollment by dividing the aggregate </w:t>
      </w:r>
      <w:r w:rsidRPr="00954DAF">
        <w:rPr>
          <w:i/>
        </w:rPr>
        <w:t>ex-ante</w:t>
      </w:r>
      <w:r>
        <w:t xml:space="preserve"> impact by per-customer impacts derived from previous </w:t>
      </w:r>
      <w:r w:rsidRPr="00954DAF">
        <w:rPr>
          <w:i/>
        </w:rPr>
        <w:t>ex-post</w:t>
      </w:r>
      <w:r>
        <w:t xml:space="preserve"> studies, as described above. For the remainder of the forecast horizon, the </w:t>
      </w:r>
      <w:r w:rsidRPr="00954DAF">
        <w:rPr>
          <w:i/>
        </w:rPr>
        <w:t>ex-ante</w:t>
      </w:r>
      <w:r>
        <w:t xml:space="preserve"> impacts and the enrollment are expected to remain flat for AMP DO in the absence of more information. There will be no AMP DA contracts in 2015. As it is not clear whether AMP DA contracts will be executed in the future, PG&amp;E assumes no impacts for AMP DA for 2015-2025.</w:t>
      </w:r>
    </w:p>
    <w:p w:rsidR="00813579" w:rsidRDefault="00813579" w:rsidP="00813579"/>
    <w:p w:rsidR="00813579" w:rsidRDefault="00813579" w:rsidP="00813579">
      <w:r>
        <w:t>Table 6</w:t>
      </w:r>
      <w:r>
        <w:softHyphen/>
        <w:t xml:space="preserve">–2 compares </w:t>
      </w:r>
      <w:r>
        <w:rPr>
          <w:i/>
        </w:rPr>
        <w:t>ex-ante</w:t>
      </w:r>
      <w:r>
        <w:t xml:space="preserve"> load impacts for AMP DO in</w:t>
      </w:r>
      <w:r w:rsidR="00DC28E9">
        <w:t xml:space="preserve"> both sets of</w:t>
      </w:r>
      <w:r>
        <w:t xml:space="preserve"> 1-in-2 and 1-in-10 weather conditions</w:t>
      </w:r>
      <w:r w:rsidR="00DC28E9">
        <w:t xml:space="preserve">, showing somewhat larger load impacts </w:t>
      </w:r>
      <w:r w:rsidR="00825E3C">
        <w:t xml:space="preserve">under utility peak conditions, and </w:t>
      </w:r>
      <w:r w:rsidR="00DC28E9">
        <w:t>in the 1-in-10 scenarios. The load impacts across scenarios</w:t>
      </w:r>
      <w:r>
        <w:t xml:space="preserve"> are assumed to remain constant</w:t>
      </w:r>
      <w:r w:rsidR="00DC28E9">
        <w:t xml:space="preserve"> over the forecast period</w:t>
      </w:r>
      <w:r>
        <w:t xml:space="preserve">. </w:t>
      </w:r>
    </w:p>
    <w:p w:rsidR="00813579" w:rsidRDefault="00813579" w:rsidP="00813579"/>
    <w:p w:rsidR="00813579" w:rsidRDefault="00813579" w:rsidP="0061514C">
      <w:pPr>
        <w:pStyle w:val="TableCaption"/>
        <w:keepLines/>
      </w:pPr>
      <w:bookmarkStart w:id="185" w:name="_Toc382565943"/>
      <w:bookmarkStart w:id="186" w:name="_Toc414545919"/>
      <w:r>
        <w:lastRenderedPageBreak/>
        <w:t xml:space="preserve">Table 6–2: Average Event-Hour Load Impacts (MW) for an August Peak Day in 1-in-2 and 1-in-10 Weather Conditions – </w:t>
      </w:r>
      <w:r>
        <w:rPr>
          <w:i/>
        </w:rPr>
        <w:t>PG&amp;E AMP DO</w:t>
      </w:r>
      <w:bookmarkEnd w:id="185"/>
      <w:bookmarkEnd w:id="186"/>
    </w:p>
    <w:tbl>
      <w:tblPr>
        <w:tblW w:w="5040" w:type="dxa"/>
        <w:jc w:val="center"/>
        <w:tblLook w:val="04A0" w:firstRow="1" w:lastRow="0" w:firstColumn="1" w:lastColumn="0" w:noHBand="0" w:noVBand="1"/>
      </w:tblPr>
      <w:tblGrid>
        <w:gridCol w:w="1200"/>
        <w:gridCol w:w="907"/>
        <w:gridCol w:w="1013"/>
        <w:gridCol w:w="907"/>
        <w:gridCol w:w="1013"/>
      </w:tblGrid>
      <w:tr w:rsidR="00DC28E9" w:rsidRPr="00DC28E9" w:rsidTr="00DC28E9">
        <w:trPr>
          <w:trHeight w:val="288"/>
          <w:jc w:val="center"/>
        </w:trPr>
        <w:tc>
          <w:tcPr>
            <w:tcW w:w="1200" w:type="dxa"/>
            <w:tcBorders>
              <w:top w:val="single" w:sz="4" w:space="0" w:color="auto"/>
              <w:left w:val="single" w:sz="4" w:space="0" w:color="auto"/>
              <w:bottom w:val="nil"/>
              <w:right w:val="nil"/>
            </w:tcBorders>
            <w:shd w:val="clear" w:color="000000" w:fill="99CCFF"/>
            <w:noWrap/>
            <w:vAlign w:val="bottom"/>
            <w:hideMark/>
          </w:tcPr>
          <w:p w:rsidR="00DC28E9" w:rsidRPr="00DC28E9" w:rsidRDefault="00DC28E9" w:rsidP="0061514C">
            <w:pPr>
              <w:keepNext/>
              <w:keepLines/>
              <w:rPr>
                <w:color w:val="000000"/>
                <w:sz w:val="20"/>
                <w:szCs w:val="20"/>
              </w:rPr>
            </w:pPr>
            <w:r w:rsidRPr="00DC28E9">
              <w:rPr>
                <w:color w:val="000000"/>
                <w:sz w:val="20"/>
                <w:szCs w:val="20"/>
              </w:rPr>
              <w:t> </w:t>
            </w:r>
          </w:p>
        </w:tc>
        <w:tc>
          <w:tcPr>
            <w:tcW w:w="1920" w:type="dxa"/>
            <w:gridSpan w:val="2"/>
            <w:tcBorders>
              <w:top w:val="single" w:sz="4" w:space="0" w:color="auto"/>
              <w:left w:val="single" w:sz="4" w:space="0" w:color="auto"/>
              <w:bottom w:val="single" w:sz="4" w:space="0" w:color="auto"/>
              <w:right w:val="single" w:sz="4" w:space="0" w:color="000000"/>
            </w:tcBorders>
            <w:shd w:val="clear" w:color="000000" w:fill="99CCFF"/>
            <w:noWrap/>
            <w:vAlign w:val="bottom"/>
            <w:hideMark/>
          </w:tcPr>
          <w:p w:rsidR="00DC28E9" w:rsidRPr="00DC28E9" w:rsidRDefault="00DC28E9" w:rsidP="0061514C">
            <w:pPr>
              <w:keepNext/>
              <w:keepLines/>
              <w:jc w:val="center"/>
              <w:rPr>
                <w:b/>
                <w:bCs/>
                <w:color w:val="000000"/>
                <w:sz w:val="20"/>
                <w:szCs w:val="20"/>
              </w:rPr>
            </w:pPr>
            <w:r w:rsidRPr="00DC28E9">
              <w:rPr>
                <w:b/>
                <w:bCs/>
                <w:color w:val="000000"/>
                <w:sz w:val="20"/>
                <w:szCs w:val="20"/>
              </w:rPr>
              <w:t>Utility Peak</w:t>
            </w:r>
          </w:p>
        </w:tc>
        <w:tc>
          <w:tcPr>
            <w:tcW w:w="1920" w:type="dxa"/>
            <w:gridSpan w:val="2"/>
            <w:tcBorders>
              <w:top w:val="single" w:sz="4" w:space="0" w:color="auto"/>
              <w:left w:val="nil"/>
              <w:bottom w:val="single" w:sz="4" w:space="0" w:color="auto"/>
              <w:right w:val="single" w:sz="4" w:space="0" w:color="000000"/>
            </w:tcBorders>
            <w:shd w:val="clear" w:color="000000" w:fill="99CCFF"/>
            <w:noWrap/>
            <w:vAlign w:val="bottom"/>
            <w:hideMark/>
          </w:tcPr>
          <w:p w:rsidR="00DC28E9" w:rsidRPr="00DC28E9" w:rsidRDefault="00DC28E9" w:rsidP="0061514C">
            <w:pPr>
              <w:keepNext/>
              <w:keepLines/>
              <w:jc w:val="center"/>
              <w:rPr>
                <w:b/>
                <w:bCs/>
                <w:color w:val="000000"/>
                <w:sz w:val="20"/>
                <w:szCs w:val="20"/>
              </w:rPr>
            </w:pPr>
            <w:r w:rsidRPr="00DC28E9">
              <w:rPr>
                <w:b/>
                <w:bCs/>
                <w:color w:val="000000"/>
                <w:sz w:val="20"/>
                <w:szCs w:val="20"/>
              </w:rPr>
              <w:t>CAISO Peak</w:t>
            </w:r>
          </w:p>
        </w:tc>
      </w:tr>
      <w:tr w:rsidR="00DC28E9" w:rsidRPr="00DC28E9" w:rsidTr="00DC28E9">
        <w:trPr>
          <w:trHeight w:val="288"/>
          <w:jc w:val="center"/>
        </w:trPr>
        <w:tc>
          <w:tcPr>
            <w:tcW w:w="1200" w:type="dxa"/>
            <w:tcBorders>
              <w:top w:val="nil"/>
              <w:left w:val="single" w:sz="4" w:space="0" w:color="auto"/>
              <w:bottom w:val="single" w:sz="4" w:space="0" w:color="auto"/>
              <w:right w:val="nil"/>
            </w:tcBorders>
            <w:shd w:val="clear" w:color="000000" w:fill="99CCFF"/>
            <w:noWrap/>
            <w:vAlign w:val="bottom"/>
            <w:hideMark/>
          </w:tcPr>
          <w:p w:rsidR="00DC28E9" w:rsidRPr="00DC28E9" w:rsidRDefault="00DC28E9" w:rsidP="0061514C">
            <w:pPr>
              <w:keepNext/>
              <w:keepLines/>
              <w:jc w:val="center"/>
              <w:rPr>
                <w:b/>
                <w:bCs/>
                <w:color w:val="000000"/>
                <w:sz w:val="20"/>
                <w:szCs w:val="20"/>
              </w:rPr>
            </w:pPr>
            <w:r w:rsidRPr="00DC28E9">
              <w:rPr>
                <w:b/>
                <w:bCs/>
                <w:color w:val="000000"/>
                <w:sz w:val="20"/>
                <w:szCs w:val="20"/>
              </w:rPr>
              <w:t>Notice</w:t>
            </w:r>
          </w:p>
        </w:tc>
        <w:tc>
          <w:tcPr>
            <w:tcW w:w="907" w:type="dxa"/>
            <w:tcBorders>
              <w:top w:val="nil"/>
              <w:left w:val="single" w:sz="4" w:space="0" w:color="auto"/>
              <w:bottom w:val="single" w:sz="4" w:space="0" w:color="auto"/>
              <w:right w:val="nil"/>
            </w:tcBorders>
            <w:shd w:val="clear" w:color="000000" w:fill="99CCFF"/>
            <w:noWrap/>
            <w:vAlign w:val="bottom"/>
            <w:hideMark/>
          </w:tcPr>
          <w:p w:rsidR="00DC28E9" w:rsidRPr="00DC28E9" w:rsidRDefault="00DC28E9" w:rsidP="0061514C">
            <w:pPr>
              <w:keepNext/>
              <w:keepLines/>
              <w:ind w:firstLineChars="100" w:firstLine="201"/>
              <w:rPr>
                <w:b/>
                <w:bCs/>
                <w:color w:val="000000"/>
                <w:sz w:val="20"/>
                <w:szCs w:val="20"/>
              </w:rPr>
            </w:pPr>
            <w:r w:rsidRPr="00DC28E9">
              <w:rPr>
                <w:b/>
                <w:bCs/>
                <w:color w:val="000000"/>
                <w:sz w:val="20"/>
                <w:szCs w:val="20"/>
              </w:rPr>
              <w:t>1-in-2</w:t>
            </w:r>
          </w:p>
        </w:tc>
        <w:tc>
          <w:tcPr>
            <w:tcW w:w="1013" w:type="dxa"/>
            <w:tcBorders>
              <w:top w:val="nil"/>
              <w:left w:val="nil"/>
              <w:bottom w:val="single" w:sz="4" w:space="0" w:color="auto"/>
              <w:right w:val="single" w:sz="4" w:space="0" w:color="auto"/>
            </w:tcBorders>
            <w:shd w:val="clear" w:color="000000" w:fill="99CCFF"/>
            <w:noWrap/>
            <w:vAlign w:val="bottom"/>
            <w:hideMark/>
          </w:tcPr>
          <w:p w:rsidR="00DC28E9" w:rsidRPr="00DC28E9" w:rsidRDefault="00DC28E9" w:rsidP="0061514C">
            <w:pPr>
              <w:keepNext/>
              <w:keepLines/>
              <w:ind w:firstLineChars="100" w:firstLine="201"/>
              <w:rPr>
                <w:b/>
                <w:bCs/>
                <w:color w:val="000000"/>
                <w:sz w:val="20"/>
                <w:szCs w:val="20"/>
              </w:rPr>
            </w:pPr>
            <w:r w:rsidRPr="00DC28E9">
              <w:rPr>
                <w:b/>
                <w:bCs/>
                <w:color w:val="000000"/>
                <w:sz w:val="20"/>
                <w:szCs w:val="20"/>
              </w:rPr>
              <w:t>1-in-10</w:t>
            </w:r>
          </w:p>
        </w:tc>
        <w:tc>
          <w:tcPr>
            <w:tcW w:w="907" w:type="dxa"/>
            <w:tcBorders>
              <w:top w:val="nil"/>
              <w:left w:val="nil"/>
              <w:bottom w:val="single" w:sz="4" w:space="0" w:color="auto"/>
              <w:right w:val="nil"/>
            </w:tcBorders>
            <w:shd w:val="clear" w:color="000000" w:fill="99CCFF"/>
            <w:noWrap/>
            <w:vAlign w:val="bottom"/>
            <w:hideMark/>
          </w:tcPr>
          <w:p w:rsidR="00DC28E9" w:rsidRPr="00DC28E9" w:rsidRDefault="00DC28E9" w:rsidP="0061514C">
            <w:pPr>
              <w:keepNext/>
              <w:keepLines/>
              <w:ind w:firstLineChars="100" w:firstLine="201"/>
              <w:rPr>
                <w:b/>
                <w:bCs/>
                <w:color w:val="000000"/>
                <w:sz w:val="20"/>
                <w:szCs w:val="20"/>
              </w:rPr>
            </w:pPr>
            <w:r w:rsidRPr="00DC28E9">
              <w:rPr>
                <w:b/>
                <w:bCs/>
                <w:color w:val="000000"/>
                <w:sz w:val="20"/>
                <w:szCs w:val="20"/>
              </w:rPr>
              <w:t>1-in-2</w:t>
            </w:r>
          </w:p>
        </w:tc>
        <w:tc>
          <w:tcPr>
            <w:tcW w:w="1013" w:type="dxa"/>
            <w:tcBorders>
              <w:top w:val="nil"/>
              <w:left w:val="nil"/>
              <w:bottom w:val="single" w:sz="4" w:space="0" w:color="auto"/>
              <w:right w:val="single" w:sz="4" w:space="0" w:color="auto"/>
            </w:tcBorders>
            <w:shd w:val="clear" w:color="000000" w:fill="99CCFF"/>
            <w:noWrap/>
            <w:vAlign w:val="bottom"/>
            <w:hideMark/>
          </w:tcPr>
          <w:p w:rsidR="00DC28E9" w:rsidRPr="00DC28E9" w:rsidRDefault="00DC28E9" w:rsidP="0061514C">
            <w:pPr>
              <w:keepNext/>
              <w:keepLines/>
              <w:ind w:firstLineChars="100" w:firstLine="201"/>
              <w:rPr>
                <w:b/>
                <w:bCs/>
                <w:color w:val="000000"/>
                <w:sz w:val="20"/>
                <w:szCs w:val="20"/>
              </w:rPr>
            </w:pPr>
            <w:r w:rsidRPr="00DC28E9">
              <w:rPr>
                <w:b/>
                <w:bCs/>
                <w:color w:val="000000"/>
                <w:sz w:val="20"/>
                <w:szCs w:val="20"/>
              </w:rPr>
              <w:t>1-in-10</w:t>
            </w:r>
          </w:p>
        </w:tc>
      </w:tr>
      <w:tr w:rsidR="006C006B" w:rsidRPr="00DC28E9" w:rsidTr="00DC28E9">
        <w:trPr>
          <w:trHeight w:val="288"/>
          <w:jc w:val="center"/>
        </w:trPr>
        <w:tc>
          <w:tcPr>
            <w:tcW w:w="1200" w:type="dxa"/>
            <w:tcBorders>
              <w:top w:val="nil"/>
              <w:left w:val="single" w:sz="4" w:space="0" w:color="auto"/>
              <w:bottom w:val="single" w:sz="4" w:space="0" w:color="auto"/>
              <w:right w:val="nil"/>
            </w:tcBorders>
            <w:shd w:val="clear" w:color="auto" w:fill="auto"/>
            <w:noWrap/>
            <w:vAlign w:val="bottom"/>
            <w:hideMark/>
          </w:tcPr>
          <w:p w:rsidR="006C006B" w:rsidRPr="00DC28E9" w:rsidRDefault="006C006B" w:rsidP="0061514C">
            <w:pPr>
              <w:keepNext/>
              <w:keepLines/>
              <w:jc w:val="center"/>
              <w:rPr>
                <w:color w:val="000000"/>
                <w:sz w:val="20"/>
                <w:szCs w:val="20"/>
              </w:rPr>
            </w:pPr>
            <w:r w:rsidRPr="00DC28E9">
              <w:rPr>
                <w:color w:val="000000"/>
                <w:sz w:val="20"/>
                <w:szCs w:val="20"/>
              </w:rPr>
              <w:t>DO</w:t>
            </w:r>
          </w:p>
        </w:tc>
        <w:tc>
          <w:tcPr>
            <w:tcW w:w="907" w:type="dxa"/>
            <w:tcBorders>
              <w:top w:val="nil"/>
              <w:left w:val="single" w:sz="4" w:space="0" w:color="auto"/>
              <w:bottom w:val="single" w:sz="4" w:space="0" w:color="auto"/>
              <w:right w:val="nil"/>
            </w:tcBorders>
            <w:shd w:val="clear" w:color="auto" w:fill="auto"/>
            <w:noWrap/>
            <w:vAlign w:val="bottom"/>
            <w:hideMark/>
          </w:tcPr>
          <w:p w:rsidR="006C006B" w:rsidRDefault="006C006B" w:rsidP="0061514C">
            <w:pPr>
              <w:keepNext/>
              <w:keepLines/>
              <w:ind w:firstLineChars="100" w:firstLine="200"/>
              <w:jc w:val="right"/>
              <w:rPr>
                <w:color w:val="000000"/>
                <w:sz w:val="20"/>
                <w:szCs w:val="20"/>
              </w:rPr>
            </w:pPr>
            <w:r>
              <w:rPr>
                <w:color w:val="000000"/>
                <w:sz w:val="20"/>
                <w:szCs w:val="20"/>
              </w:rPr>
              <w:t>128.2</w:t>
            </w:r>
          </w:p>
        </w:tc>
        <w:tc>
          <w:tcPr>
            <w:tcW w:w="1013" w:type="dxa"/>
            <w:tcBorders>
              <w:top w:val="nil"/>
              <w:left w:val="nil"/>
              <w:bottom w:val="single" w:sz="4" w:space="0" w:color="auto"/>
              <w:right w:val="single" w:sz="4" w:space="0" w:color="auto"/>
            </w:tcBorders>
            <w:shd w:val="clear" w:color="auto" w:fill="auto"/>
            <w:noWrap/>
            <w:vAlign w:val="bottom"/>
            <w:hideMark/>
          </w:tcPr>
          <w:p w:rsidR="006C006B" w:rsidRDefault="006C006B" w:rsidP="0061514C">
            <w:pPr>
              <w:keepNext/>
              <w:keepLines/>
              <w:ind w:firstLineChars="100" w:firstLine="200"/>
              <w:jc w:val="right"/>
              <w:rPr>
                <w:color w:val="000000"/>
                <w:sz w:val="20"/>
                <w:szCs w:val="20"/>
              </w:rPr>
            </w:pPr>
            <w:r>
              <w:rPr>
                <w:color w:val="000000"/>
                <w:sz w:val="20"/>
                <w:szCs w:val="20"/>
              </w:rPr>
              <w:t>129.1</w:t>
            </w:r>
          </w:p>
        </w:tc>
        <w:tc>
          <w:tcPr>
            <w:tcW w:w="907" w:type="dxa"/>
            <w:tcBorders>
              <w:top w:val="nil"/>
              <w:left w:val="nil"/>
              <w:bottom w:val="single" w:sz="4" w:space="0" w:color="auto"/>
              <w:right w:val="nil"/>
            </w:tcBorders>
            <w:shd w:val="clear" w:color="auto" w:fill="auto"/>
            <w:noWrap/>
            <w:vAlign w:val="bottom"/>
            <w:hideMark/>
          </w:tcPr>
          <w:p w:rsidR="006C006B" w:rsidRDefault="006C006B" w:rsidP="0061514C">
            <w:pPr>
              <w:keepNext/>
              <w:keepLines/>
              <w:ind w:firstLineChars="100" w:firstLine="200"/>
              <w:jc w:val="right"/>
              <w:rPr>
                <w:color w:val="000000"/>
                <w:sz w:val="20"/>
                <w:szCs w:val="20"/>
              </w:rPr>
            </w:pPr>
            <w:r>
              <w:rPr>
                <w:color w:val="000000"/>
                <w:sz w:val="20"/>
                <w:szCs w:val="20"/>
              </w:rPr>
              <w:t>126.9</w:t>
            </w:r>
          </w:p>
        </w:tc>
        <w:tc>
          <w:tcPr>
            <w:tcW w:w="1013" w:type="dxa"/>
            <w:tcBorders>
              <w:top w:val="nil"/>
              <w:left w:val="nil"/>
              <w:bottom w:val="single" w:sz="4" w:space="0" w:color="auto"/>
              <w:right w:val="single" w:sz="4" w:space="0" w:color="auto"/>
            </w:tcBorders>
            <w:shd w:val="clear" w:color="auto" w:fill="auto"/>
            <w:noWrap/>
            <w:vAlign w:val="bottom"/>
            <w:hideMark/>
          </w:tcPr>
          <w:p w:rsidR="006C006B" w:rsidRDefault="006C006B" w:rsidP="0061514C">
            <w:pPr>
              <w:keepNext/>
              <w:keepLines/>
              <w:ind w:firstLineChars="100" w:firstLine="200"/>
              <w:jc w:val="right"/>
              <w:rPr>
                <w:color w:val="000000"/>
                <w:sz w:val="20"/>
                <w:szCs w:val="20"/>
              </w:rPr>
            </w:pPr>
            <w:r>
              <w:rPr>
                <w:color w:val="000000"/>
                <w:sz w:val="20"/>
                <w:szCs w:val="20"/>
              </w:rPr>
              <w:t>128.3</w:t>
            </w:r>
          </w:p>
        </w:tc>
      </w:tr>
    </w:tbl>
    <w:p w:rsidR="00813579" w:rsidRDefault="00813579" w:rsidP="00813579">
      <w:pPr>
        <w:jc w:val="center"/>
      </w:pPr>
    </w:p>
    <w:p w:rsidR="00813579" w:rsidRDefault="00813579" w:rsidP="00813579">
      <w:r>
        <w:t>Figure 6–4 shows the distribution of load impacts by LCA for AMP DO for an August peak day in 1-in-2 weather conditions. DO load impacts are greatest in Kern, with large impacts also in the Greater Fresno LCA.</w:t>
      </w:r>
    </w:p>
    <w:p w:rsidR="00813579" w:rsidRDefault="00813579" w:rsidP="00813579"/>
    <w:p w:rsidR="00813579" w:rsidRDefault="00813579" w:rsidP="00813579">
      <w:pPr>
        <w:pStyle w:val="FigureCaption"/>
      </w:pPr>
      <w:bookmarkStart w:id="187" w:name="_Toc227658434"/>
      <w:bookmarkStart w:id="188" w:name="_Toc227022625"/>
      <w:bookmarkStart w:id="189" w:name="_Toc382565888"/>
      <w:bookmarkStart w:id="190" w:name="_Toc288467512"/>
      <w:bookmarkStart w:id="191" w:name="_Toc256781382"/>
      <w:bookmarkStart w:id="192" w:name="_Toc412549200"/>
      <w:r>
        <w:t xml:space="preserve">Figure 6–4: </w:t>
      </w:r>
      <w:bookmarkEnd w:id="187"/>
      <w:bookmarkEnd w:id="188"/>
      <w:r>
        <w:t xml:space="preserve">Distribution of Load Impacts by LCA for an August Peak Day in 2015 in 1-in-2 </w:t>
      </w:r>
      <w:r w:rsidR="00825E3C">
        <w:t xml:space="preserve">Utility-Peak </w:t>
      </w:r>
      <w:r>
        <w:t xml:space="preserve">Weather Conditions – </w:t>
      </w:r>
      <w:r>
        <w:rPr>
          <w:i/>
        </w:rPr>
        <w:t>AMP DO</w:t>
      </w:r>
      <w:bookmarkEnd w:id="189"/>
      <w:bookmarkEnd w:id="190"/>
      <w:bookmarkEnd w:id="191"/>
      <w:bookmarkEnd w:id="192"/>
    </w:p>
    <w:p w:rsidR="00813579" w:rsidRDefault="00E202A3" w:rsidP="00813579">
      <w:pPr>
        <w:keepNext/>
        <w:keepLines/>
        <w:jc w:val="center"/>
      </w:pPr>
      <w:r w:rsidRPr="00E202A3">
        <w:t xml:space="preserve"> </w:t>
      </w:r>
      <w:r w:rsidRPr="00E202A3">
        <w:rPr>
          <w:noProof/>
        </w:rPr>
        <w:drawing>
          <wp:inline distT="0" distB="0" distL="0" distR="0" wp14:anchorId="11635211" wp14:editId="2A501A96">
            <wp:extent cx="5486400" cy="3976072"/>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486400" cy="3976072"/>
                    </a:xfrm>
                    <a:prstGeom prst="rect">
                      <a:avLst/>
                    </a:prstGeom>
                    <a:noFill/>
                    <a:ln>
                      <a:noFill/>
                    </a:ln>
                  </pic:spPr>
                </pic:pic>
              </a:graphicData>
            </a:graphic>
          </wp:inline>
        </w:drawing>
      </w:r>
    </w:p>
    <w:p w:rsidR="00813579" w:rsidRDefault="00813579" w:rsidP="00813579">
      <w:pPr>
        <w:jc w:val="center"/>
      </w:pPr>
    </w:p>
    <w:p w:rsidR="00813579" w:rsidRDefault="00813579" w:rsidP="00813579">
      <w:pPr>
        <w:pStyle w:val="Heading3"/>
      </w:pPr>
      <w:bookmarkStart w:id="193" w:name="_Toc382566018"/>
      <w:bookmarkStart w:id="194" w:name="_Toc415231788"/>
      <w:r>
        <w:t>6.4.2 Hourly reference loads and load impacts</w:t>
      </w:r>
      <w:bookmarkEnd w:id="193"/>
      <w:bookmarkEnd w:id="194"/>
    </w:p>
    <w:p w:rsidR="00813579" w:rsidRDefault="00813579" w:rsidP="00813579">
      <w:r>
        <w:t xml:space="preserve">Figure 6–5 shows the forecast reference load, event-day load, and load impacts for an August peak day in 2015 in 1-in-2 </w:t>
      </w:r>
      <w:r w:rsidR="0089106D">
        <w:t xml:space="preserve">utility-peak </w:t>
      </w:r>
      <w:r>
        <w:t>weather conditions for AMP D</w:t>
      </w:r>
      <w:r w:rsidR="0089106D">
        <w:t>O</w:t>
      </w:r>
      <w:r>
        <w:t xml:space="preserve">. </w:t>
      </w:r>
    </w:p>
    <w:p w:rsidR="00813579" w:rsidRDefault="00813579" w:rsidP="00813579"/>
    <w:p w:rsidR="00813579" w:rsidRDefault="00813579" w:rsidP="00813579">
      <w:pPr>
        <w:pStyle w:val="FigureCaption"/>
      </w:pPr>
      <w:bookmarkStart w:id="195" w:name="_Toc382565890"/>
      <w:bookmarkStart w:id="196" w:name="_Toc288467510"/>
      <w:bookmarkStart w:id="197" w:name="_Toc256781381"/>
      <w:bookmarkStart w:id="198" w:name="_Toc412549201"/>
      <w:r>
        <w:lastRenderedPageBreak/>
        <w:t>Figure 6–</w:t>
      </w:r>
      <w:r w:rsidR="0089106D">
        <w:t>5</w:t>
      </w:r>
      <w:r>
        <w:t xml:space="preserve">: Hourly Event Day Load Impacts for an August Peak Day in 2015 in 1-in-2 Weather Conditions – </w:t>
      </w:r>
      <w:r>
        <w:rPr>
          <w:i/>
        </w:rPr>
        <w:t>AMP DO</w:t>
      </w:r>
      <w:bookmarkEnd w:id="195"/>
      <w:bookmarkEnd w:id="196"/>
      <w:bookmarkEnd w:id="197"/>
      <w:bookmarkEnd w:id="198"/>
    </w:p>
    <w:p w:rsidR="00813579" w:rsidRDefault="006C006B" w:rsidP="00813579">
      <w:bookmarkStart w:id="199" w:name="_Toc326224658"/>
      <w:bookmarkStart w:id="200" w:name="_Toc289180095"/>
      <w:bookmarkStart w:id="201" w:name="_Toc257708628"/>
      <w:bookmarkStart w:id="202" w:name="_Toc254952723"/>
      <w:bookmarkStart w:id="203" w:name="_Toc252887017"/>
      <w:bookmarkStart w:id="204" w:name="_Toc227658384"/>
      <w:r w:rsidRPr="006C006B">
        <w:rPr>
          <w:noProof/>
        </w:rPr>
        <w:drawing>
          <wp:inline distT="0" distB="0" distL="0" distR="0" wp14:anchorId="5E18C01C" wp14:editId="768EE748">
            <wp:extent cx="5486400" cy="371926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486400" cy="3719269"/>
                    </a:xfrm>
                    <a:prstGeom prst="rect">
                      <a:avLst/>
                    </a:prstGeom>
                    <a:noFill/>
                    <a:ln>
                      <a:noFill/>
                    </a:ln>
                  </pic:spPr>
                </pic:pic>
              </a:graphicData>
            </a:graphic>
          </wp:inline>
        </w:drawing>
      </w:r>
    </w:p>
    <w:p w:rsidR="00813579" w:rsidRDefault="00813579" w:rsidP="00813579"/>
    <w:p w:rsidR="00813579" w:rsidRDefault="00813579" w:rsidP="00813579"/>
    <w:p w:rsidR="00813579" w:rsidRDefault="00813579" w:rsidP="00813579">
      <w:pPr>
        <w:pStyle w:val="Heading2"/>
      </w:pPr>
      <w:bookmarkStart w:id="205" w:name="_Toc382566019"/>
      <w:bookmarkStart w:id="206" w:name="_Toc415231789"/>
      <w:r w:rsidRPr="003B5771">
        <w:t xml:space="preserve">6.5 </w:t>
      </w:r>
      <w:r w:rsidRPr="003B5771">
        <w:rPr>
          <w:i/>
        </w:rPr>
        <w:t>Ex-ante</w:t>
      </w:r>
      <w:r w:rsidRPr="003B5771">
        <w:t xml:space="preserve"> Load Impacts for SCE’s CBP Program</w:t>
      </w:r>
      <w:bookmarkEnd w:id="199"/>
      <w:bookmarkEnd w:id="200"/>
      <w:bookmarkEnd w:id="201"/>
      <w:bookmarkEnd w:id="202"/>
      <w:bookmarkEnd w:id="203"/>
      <w:bookmarkEnd w:id="204"/>
      <w:bookmarkEnd w:id="205"/>
      <w:bookmarkEnd w:id="206"/>
      <w:r w:rsidR="00047A87" w:rsidRPr="003B5771">
        <w:t xml:space="preserve"> </w:t>
      </w:r>
    </w:p>
    <w:p w:rsidR="00813579" w:rsidRDefault="00813579" w:rsidP="00813579">
      <w:pPr>
        <w:pStyle w:val="Heading3"/>
        <w:rPr>
          <w:bCs w:val="0"/>
          <w:iCs/>
          <w:sz w:val="22"/>
        </w:rPr>
      </w:pPr>
      <w:bookmarkStart w:id="207" w:name="_Toc382566020"/>
      <w:bookmarkStart w:id="208" w:name="_Toc415231790"/>
      <w:r>
        <w:rPr>
          <w:bCs w:val="0"/>
          <w:iCs/>
          <w:sz w:val="22"/>
        </w:rPr>
        <w:t>6.5.1 Enrollment forecasts, reference loads and load impacts</w:t>
      </w:r>
      <w:bookmarkEnd w:id="207"/>
      <w:bookmarkEnd w:id="208"/>
    </w:p>
    <w:p w:rsidR="00813579" w:rsidRDefault="00813579" w:rsidP="00813579">
      <w:r>
        <w:t xml:space="preserve">SCE </w:t>
      </w:r>
      <w:r w:rsidR="00F722B8">
        <w:t xml:space="preserve">provided </w:t>
      </w:r>
      <w:r>
        <w:t>enrollment/nomination forecasts for 201</w:t>
      </w:r>
      <w:r w:rsidR="00F722B8">
        <w:t>5</w:t>
      </w:r>
      <w:r>
        <w:t xml:space="preserve"> through 201</w:t>
      </w:r>
      <w:r w:rsidR="00F722B8">
        <w:t xml:space="preserve">7 for CBP DA and DO. The forecasts differ by summer and winter months, but are otherwise constant over the period. Forecasts for </w:t>
      </w:r>
      <w:r>
        <w:t xml:space="preserve">CBP DA </w:t>
      </w:r>
      <w:r w:rsidR="00F722B8">
        <w:t xml:space="preserve">are 129 </w:t>
      </w:r>
      <w:r w:rsidR="00595F10">
        <w:t>service accounts</w:t>
      </w:r>
      <w:r w:rsidR="00F722B8">
        <w:t xml:space="preserve"> in the summer months of May through October, and 87 in the non-summer months. Forecasts for CBP DO are 1,162 in the summer months, </w:t>
      </w:r>
      <w:r>
        <w:t xml:space="preserve">and </w:t>
      </w:r>
      <w:r w:rsidR="00F722B8">
        <w:t>782</w:t>
      </w:r>
      <w:r>
        <w:t xml:space="preserve"> </w:t>
      </w:r>
      <w:r w:rsidR="00F722B8">
        <w:t>in non-summer months</w:t>
      </w:r>
      <w:r>
        <w:t xml:space="preserve">. </w:t>
      </w:r>
      <w:r w:rsidR="00F722B8">
        <w:t xml:space="preserve">The forecast for CBP DA is down 44 percent from the number of nominated </w:t>
      </w:r>
      <w:r w:rsidR="00595F10">
        <w:t>service accounts</w:t>
      </w:r>
      <w:r w:rsidR="00F722B8">
        <w:t xml:space="preserve"> at the end of the 2014 summer, while the forecast for DO is up by 12 percent. </w:t>
      </w:r>
      <w:r w:rsidR="009F0964" w:rsidRPr="009F0964">
        <w:rPr>
          <w:szCs w:val="24"/>
        </w:rPr>
        <w:t xml:space="preserve">SCE believes that CBP aggregators have moved some customers from DA to DO as a result of </w:t>
      </w:r>
      <w:r w:rsidR="0002410E">
        <w:rPr>
          <w:szCs w:val="24"/>
        </w:rPr>
        <w:t xml:space="preserve">a number of </w:t>
      </w:r>
      <w:r w:rsidR="009F0964" w:rsidRPr="009F0964">
        <w:rPr>
          <w:szCs w:val="24"/>
        </w:rPr>
        <w:t xml:space="preserve">events called in the </w:t>
      </w:r>
      <w:r w:rsidR="0002410E">
        <w:rPr>
          <w:szCs w:val="24"/>
        </w:rPr>
        <w:t xml:space="preserve">winter of </w:t>
      </w:r>
      <w:r w:rsidR="009F0964" w:rsidRPr="009F0964">
        <w:rPr>
          <w:szCs w:val="24"/>
        </w:rPr>
        <w:t>2014/2015.</w:t>
      </w:r>
    </w:p>
    <w:p w:rsidR="00F722B8" w:rsidRDefault="00F722B8" w:rsidP="00813579"/>
    <w:p w:rsidR="00813579" w:rsidRDefault="00813579" w:rsidP="00813579">
      <w:r>
        <w:t xml:space="preserve">Table 6–3 presents </w:t>
      </w:r>
      <w:r>
        <w:rPr>
          <w:i/>
        </w:rPr>
        <w:t>ex-ante</w:t>
      </w:r>
      <w:r>
        <w:t xml:space="preserve"> load impacts for SCE’s CBP DA and DO</w:t>
      </w:r>
      <w:r w:rsidR="00CD3E49">
        <w:t>, in the summer and winter months, and for each weather scenario</w:t>
      </w:r>
      <w:r>
        <w:t xml:space="preserve">. CBP </w:t>
      </w:r>
      <w:r w:rsidR="00CD3E49">
        <w:t xml:space="preserve">DA summer load impacts are projected at approximately 5.5 MW, while </w:t>
      </w:r>
      <w:r>
        <w:t xml:space="preserve">DO </w:t>
      </w:r>
      <w:r w:rsidR="00CD3E49">
        <w:t xml:space="preserve">summer </w:t>
      </w:r>
      <w:r>
        <w:t xml:space="preserve">load impacts </w:t>
      </w:r>
      <w:r w:rsidR="00CD3E49">
        <w:t>are at approximately 4</w:t>
      </w:r>
      <w:r>
        <w:t>9 MW.</w:t>
      </w:r>
    </w:p>
    <w:p w:rsidR="00813579" w:rsidRDefault="00813579" w:rsidP="00813579"/>
    <w:p w:rsidR="00813579" w:rsidRDefault="00813579" w:rsidP="00813579">
      <w:pPr>
        <w:pStyle w:val="TableCaption"/>
      </w:pPr>
      <w:bookmarkStart w:id="209" w:name="_Toc382565944"/>
      <w:bookmarkStart w:id="210" w:name="_Toc414545920"/>
      <w:r>
        <w:lastRenderedPageBreak/>
        <w:t xml:space="preserve">Table 6–3: Average Event-Hour Load Impacts (MW) for August </w:t>
      </w:r>
      <w:r w:rsidR="00CD3E49">
        <w:t xml:space="preserve">and February </w:t>
      </w:r>
      <w:r>
        <w:t>Peak Day</w:t>
      </w:r>
      <w:r w:rsidR="00CD3E49">
        <w:t>s,</w:t>
      </w:r>
      <w:r>
        <w:t xml:space="preserve"> in 1-in-2 and 1-in-10 Weather Conditions – </w:t>
      </w:r>
      <w:r>
        <w:rPr>
          <w:i/>
        </w:rPr>
        <w:t>SCE CBP DA and DO</w:t>
      </w:r>
      <w:bookmarkEnd w:id="209"/>
      <w:bookmarkEnd w:id="210"/>
    </w:p>
    <w:p w:rsidR="00813579" w:rsidRDefault="00601602" w:rsidP="00813579">
      <w:pPr>
        <w:jc w:val="center"/>
      </w:pPr>
      <w:r w:rsidRPr="00601602">
        <w:rPr>
          <w:noProof/>
        </w:rPr>
        <w:drawing>
          <wp:inline distT="0" distB="0" distL="0" distR="0" wp14:anchorId="634BB1AF" wp14:editId="69EC8294">
            <wp:extent cx="3818255" cy="110934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818255" cy="1109345"/>
                    </a:xfrm>
                    <a:prstGeom prst="rect">
                      <a:avLst/>
                    </a:prstGeom>
                    <a:noFill/>
                    <a:ln>
                      <a:noFill/>
                    </a:ln>
                  </pic:spPr>
                </pic:pic>
              </a:graphicData>
            </a:graphic>
          </wp:inline>
        </w:drawing>
      </w:r>
    </w:p>
    <w:p w:rsidR="00813579" w:rsidRDefault="00813579" w:rsidP="00813579"/>
    <w:p w:rsidR="00813579" w:rsidRDefault="00813579" w:rsidP="00813579">
      <w:r>
        <w:t>Figure 6–</w:t>
      </w:r>
      <w:r>
        <w:softHyphen/>
        <w:t xml:space="preserve">7 shows the distribution of CBP DA and DO load impacts by LCA. </w:t>
      </w:r>
    </w:p>
    <w:p w:rsidR="00813579" w:rsidRDefault="00813579" w:rsidP="00813579"/>
    <w:p w:rsidR="00813579" w:rsidRDefault="00813579" w:rsidP="00813579">
      <w:pPr>
        <w:pStyle w:val="FigureCaption"/>
      </w:pPr>
      <w:bookmarkStart w:id="211" w:name="_Toc227658426"/>
      <w:bookmarkStart w:id="212" w:name="_Toc227022617"/>
      <w:bookmarkStart w:id="213" w:name="_Toc382565891"/>
      <w:bookmarkStart w:id="214" w:name="_Toc412549202"/>
      <w:bookmarkStart w:id="215" w:name="_Toc288466727"/>
      <w:bookmarkStart w:id="216" w:name="_Toc256781375"/>
      <w:r>
        <w:t xml:space="preserve">Figure 6–7: </w:t>
      </w:r>
      <w:bookmarkEnd w:id="211"/>
      <w:bookmarkEnd w:id="212"/>
      <w:r>
        <w:t xml:space="preserve">Distribution of Load Impacts by LCA for an August Peak Day in 2015 in 1-in-2 Weather Conditions – </w:t>
      </w:r>
      <w:r>
        <w:rPr>
          <w:i/>
        </w:rPr>
        <w:t>SCE CBP</w:t>
      </w:r>
      <w:bookmarkEnd w:id="213"/>
      <w:bookmarkEnd w:id="214"/>
      <w:r>
        <w:rPr>
          <w:i/>
        </w:rPr>
        <w:t xml:space="preserve"> </w:t>
      </w:r>
      <w:bookmarkEnd w:id="215"/>
      <w:bookmarkEnd w:id="216"/>
    </w:p>
    <w:p w:rsidR="00813579" w:rsidRDefault="00E202A3" w:rsidP="00813579">
      <w:pPr>
        <w:jc w:val="center"/>
      </w:pPr>
      <w:r w:rsidRPr="00E202A3">
        <w:t xml:space="preserve"> </w:t>
      </w:r>
      <w:r w:rsidRPr="00E202A3">
        <w:rPr>
          <w:noProof/>
        </w:rPr>
        <w:drawing>
          <wp:inline distT="0" distB="0" distL="0" distR="0" wp14:anchorId="626ACA21" wp14:editId="35D94B80">
            <wp:extent cx="5486400" cy="3976072"/>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486400" cy="3976072"/>
                    </a:xfrm>
                    <a:prstGeom prst="rect">
                      <a:avLst/>
                    </a:prstGeom>
                    <a:noFill/>
                    <a:ln>
                      <a:noFill/>
                    </a:ln>
                  </pic:spPr>
                </pic:pic>
              </a:graphicData>
            </a:graphic>
          </wp:inline>
        </w:drawing>
      </w:r>
    </w:p>
    <w:p w:rsidR="00813579" w:rsidRDefault="00813579" w:rsidP="00813579"/>
    <w:p w:rsidR="00813579" w:rsidRDefault="00813579" w:rsidP="00813579">
      <w:pPr>
        <w:pStyle w:val="Heading3"/>
        <w:rPr>
          <w:sz w:val="22"/>
        </w:rPr>
      </w:pPr>
      <w:bookmarkStart w:id="217" w:name="_Toc288651995"/>
      <w:bookmarkStart w:id="218" w:name="_Toc257697470"/>
      <w:bookmarkStart w:id="219" w:name="_Toc382566021"/>
      <w:bookmarkStart w:id="220" w:name="_Toc415231791"/>
      <w:r>
        <w:rPr>
          <w:sz w:val="22"/>
        </w:rPr>
        <w:t xml:space="preserve">6.5.2 </w:t>
      </w:r>
      <w:bookmarkEnd w:id="217"/>
      <w:bookmarkEnd w:id="218"/>
      <w:r>
        <w:rPr>
          <w:sz w:val="22"/>
        </w:rPr>
        <w:t>Hourly reference loads and load impacts</w:t>
      </w:r>
      <w:bookmarkEnd w:id="219"/>
      <w:bookmarkEnd w:id="220"/>
    </w:p>
    <w:p w:rsidR="00813579" w:rsidRDefault="00813579" w:rsidP="00813579">
      <w:r>
        <w:t xml:space="preserve">Figure 6–8 shows hourly forecast reference and event-day loads, and load impacts for a typical event day in a 1-in-2 </w:t>
      </w:r>
      <w:r w:rsidR="00CD3E49">
        <w:t xml:space="preserve">utility-peak </w:t>
      </w:r>
      <w:r>
        <w:t>weather year in August 2015 for SCE CBP DO. Event-hour load impacts average about 4</w:t>
      </w:r>
      <w:r w:rsidR="003B5771">
        <w:t>9</w:t>
      </w:r>
      <w:r>
        <w:t xml:space="preserve"> MW, which is 2</w:t>
      </w:r>
      <w:r w:rsidR="003B5771">
        <w:t>0</w:t>
      </w:r>
      <w:r>
        <w:t xml:space="preserve"> percent of the reference load.  </w:t>
      </w:r>
    </w:p>
    <w:p w:rsidR="00813579" w:rsidRDefault="00813579" w:rsidP="00813579"/>
    <w:p w:rsidR="00813579" w:rsidRDefault="00813579" w:rsidP="00813579">
      <w:pPr>
        <w:pStyle w:val="FigureCaption"/>
      </w:pPr>
      <w:bookmarkStart w:id="221" w:name="_Toc382565892"/>
      <w:bookmarkStart w:id="222" w:name="_Toc288467514"/>
      <w:bookmarkStart w:id="223" w:name="_Toc256781374"/>
      <w:bookmarkStart w:id="224" w:name="_Toc412549203"/>
      <w:r>
        <w:lastRenderedPageBreak/>
        <w:t xml:space="preserve">Figure </w:t>
      </w:r>
      <w:fldSimple w:instr=" STYLEREF 1 \s ">
        <w:r w:rsidR="004A7BE8">
          <w:rPr>
            <w:noProof/>
          </w:rPr>
          <w:t>6</w:t>
        </w:r>
      </w:fldSimple>
      <w:r>
        <w:t xml:space="preserve">–8:  Hourly Event Day Load Impacts for the Typical Event Day in 2015 in a 1-in-2 Weather Year – </w:t>
      </w:r>
      <w:r>
        <w:rPr>
          <w:i/>
        </w:rPr>
        <w:t>SCE CBP DO</w:t>
      </w:r>
      <w:bookmarkEnd w:id="221"/>
      <w:bookmarkEnd w:id="222"/>
      <w:bookmarkEnd w:id="223"/>
      <w:bookmarkEnd w:id="224"/>
    </w:p>
    <w:p w:rsidR="00813579" w:rsidRDefault="003B5771" w:rsidP="00813579">
      <w:pPr>
        <w:jc w:val="center"/>
      </w:pPr>
      <w:r w:rsidRPr="003B5771">
        <w:rPr>
          <w:noProof/>
        </w:rPr>
        <w:drawing>
          <wp:inline distT="0" distB="0" distL="0" distR="0" wp14:anchorId="6C323C79" wp14:editId="5E46D907">
            <wp:extent cx="5486400" cy="3719269"/>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486400" cy="3719269"/>
                    </a:xfrm>
                    <a:prstGeom prst="rect">
                      <a:avLst/>
                    </a:prstGeom>
                    <a:noFill/>
                    <a:ln>
                      <a:noFill/>
                    </a:ln>
                  </pic:spPr>
                </pic:pic>
              </a:graphicData>
            </a:graphic>
          </wp:inline>
        </w:drawing>
      </w:r>
    </w:p>
    <w:p w:rsidR="003B5771" w:rsidRDefault="003B5771" w:rsidP="00813579">
      <w:pPr>
        <w:jc w:val="center"/>
      </w:pPr>
    </w:p>
    <w:p w:rsidR="00813579" w:rsidRDefault="00813579" w:rsidP="00813579">
      <w:pPr>
        <w:pStyle w:val="Heading2"/>
        <w:keepNext w:val="0"/>
      </w:pPr>
      <w:bookmarkStart w:id="225" w:name="_Toc382566022"/>
      <w:bookmarkStart w:id="226" w:name="_Toc415231792"/>
      <w:r w:rsidRPr="003B5771">
        <w:t xml:space="preserve">6.6 </w:t>
      </w:r>
      <w:r w:rsidRPr="003B5771">
        <w:rPr>
          <w:i/>
        </w:rPr>
        <w:t>Ex-ante</w:t>
      </w:r>
      <w:r w:rsidRPr="003B5771">
        <w:t xml:space="preserve"> Load Impacts for SCE’s AMP Program</w:t>
      </w:r>
      <w:bookmarkEnd w:id="225"/>
      <w:bookmarkEnd w:id="226"/>
    </w:p>
    <w:p w:rsidR="00813579" w:rsidRDefault="00813579" w:rsidP="00813579">
      <w:pPr>
        <w:pStyle w:val="Heading3"/>
        <w:rPr>
          <w:sz w:val="22"/>
        </w:rPr>
      </w:pPr>
      <w:bookmarkStart w:id="227" w:name="_Toc382566023"/>
      <w:bookmarkStart w:id="228" w:name="_Toc415231793"/>
      <w:r>
        <w:rPr>
          <w:sz w:val="22"/>
        </w:rPr>
        <w:t>6.6.1 Enrollment forecasts, reference loads and load impacts</w:t>
      </w:r>
      <w:bookmarkEnd w:id="227"/>
      <w:bookmarkEnd w:id="228"/>
    </w:p>
    <w:p w:rsidR="00813579" w:rsidRDefault="00813579" w:rsidP="00813579">
      <w:r>
        <w:t>SCE enrollment/nomination forecasts for 201</w:t>
      </w:r>
      <w:r w:rsidR="009F0964">
        <w:t>5</w:t>
      </w:r>
      <w:r>
        <w:t xml:space="preserve"> through 201</w:t>
      </w:r>
      <w:r w:rsidR="009F0964">
        <w:t>7</w:t>
      </w:r>
      <w:r>
        <w:t xml:space="preserve"> are zero for AMP DA and 1,</w:t>
      </w:r>
      <w:r w:rsidR="009F0964">
        <w:t>057</w:t>
      </w:r>
      <w:r>
        <w:t xml:space="preserve"> </w:t>
      </w:r>
      <w:r w:rsidR="009F0964">
        <w:t xml:space="preserve">(579 in non-summer months) </w:t>
      </w:r>
      <w:r>
        <w:t xml:space="preserve">for AMP DO. </w:t>
      </w:r>
      <w:r w:rsidR="009F0964">
        <w:t>The DO forecast for summer is about 11 percent higher than the number of nominated customers at the end of the summer of 2014.</w:t>
      </w:r>
    </w:p>
    <w:p w:rsidR="009F0964" w:rsidRDefault="009F0964" w:rsidP="00813579"/>
    <w:p w:rsidR="00813579" w:rsidRDefault="00813579" w:rsidP="00813579">
      <w:r>
        <w:t xml:space="preserve">Table 6–4 compares </w:t>
      </w:r>
      <w:r>
        <w:rPr>
          <w:i/>
        </w:rPr>
        <w:t>ex-ante</w:t>
      </w:r>
      <w:r>
        <w:t xml:space="preserve"> </w:t>
      </w:r>
      <w:r w:rsidR="00A8628F">
        <w:t xml:space="preserve">average event-window </w:t>
      </w:r>
      <w:r>
        <w:t xml:space="preserve">load impacts for AMP DO in </w:t>
      </w:r>
      <w:r w:rsidR="003B5771">
        <w:t xml:space="preserve">the two sets of </w:t>
      </w:r>
      <w:r>
        <w:t xml:space="preserve">1-in-2 and 1-in-10 weather conditions, showing somewhat larger load impacts in </w:t>
      </w:r>
      <w:r w:rsidR="003B5771">
        <w:t xml:space="preserve">the </w:t>
      </w:r>
      <w:r>
        <w:t>1-in-10 year</w:t>
      </w:r>
      <w:r w:rsidR="003B5771">
        <w:t xml:space="preserve"> scenario</w:t>
      </w:r>
      <w:r>
        <w:t xml:space="preserve">s. </w:t>
      </w:r>
    </w:p>
    <w:p w:rsidR="00813579" w:rsidRDefault="00813579" w:rsidP="00813579"/>
    <w:p w:rsidR="00813579" w:rsidRDefault="00813579" w:rsidP="00813579">
      <w:pPr>
        <w:pStyle w:val="TableCaption"/>
      </w:pPr>
      <w:bookmarkStart w:id="229" w:name="_Toc382565945"/>
      <w:bookmarkStart w:id="230" w:name="_Toc414545921"/>
      <w:r>
        <w:t xml:space="preserve">Table 6–4: Average Event-Hour Load Impacts (MW) for an August Peak Day in 1-in-2 and 1-in-10 Weather Conditions – </w:t>
      </w:r>
      <w:r>
        <w:rPr>
          <w:i/>
        </w:rPr>
        <w:t>SCE AMP</w:t>
      </w:r>
      <w:bookmarkEnd w:id="229"/>
      <w:r w:rsidR="003B5771">
        <w:rPr>
          <w:i/>
        </w:rPr>
        <w:t xml:space="preserve"> DO</w:t>
      </w:r>
      <w:bookmarkEnd w:id="230"/>
      <w:r>
        <w:rPr>
          <w:i/>
        </w:rPr>
        <w:t xml:space="preserve"> </w:t>
      </w:r>
    </w:p>
    <w:p w:rsidR="00813579" w:rsidRDefault="00C66EB8" w:rsidP="00813579">
      <w:pPr>
        <w:jc w:val="center"/>
      </w:pPr>
      <w:r w:rsidRPr="00C66EB8">
        <w:rPr>
          <w:noProof/>
        </w:rPr>
        <w:drawing>
          <wp:inline distT="0" distB="0" distL="0" distR="0" wp14:anchorId="5F00D11C" wp14:editId="3D630AC5">
            <wp:extent cx="3817620" cy="739140"/>
            <wp:effectExtent l="0" t="0" r="0" b="381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817620" cy="739140"/>
                    </a:xfrm>
                    <a:prstGeom prst="rect">
                      <a:avLst/>
                    </a:prstGeom>
                    <a:noFill/>
                    <a:ln>
                      <a:noFill/>
                    </a:ln>
                  </pic:spPr>
                </pic:pic>
              </a:graphicData>
            </a:graphic>
          </wp:inline>
        </w:drawing>
      </w:r>
    </w:p>
    <w:p w:rsidR="00813579" w:rsidRDefault="00813579" w:rsidP="00813579"/>
    <w:p w:rsidR="00813579" w:rsidRDefault="00813579" w:rsidP="00813579"/>
    <w:p w:rsidR="00813579" w:rsidRDefault="00813579" w:rsidP="00813579">
      <w:r>
        <w:lastRenderedPageBreak/>
        <w:t>Figure 6-9 shows the distribution of load impacts across LCAs for AMP DO. Nearly 80 percent of load impacts occur in the LA Basin, with most of the remainder in the Ventura LCA.</w:t>
      </w:r>
    </w:p>
    <w:p w:rsidR="00813579" w:rsidRDefault="00813579" w:rsidP="00813579"/>
    <w:p w:rsidR="00813579" w:rsidRDefault="00813579" w:rsidP="00813579">
      <w:pPr>
        <w:pStyle w:val="FigureCaption"/>
      </w:pPr>
      <w:bookmarkStart w:id="231" w:name="_Toc382565893"/>
      <w:bookmarkStart w:id="232" w:name="_Toc288467518"/>
      <w:bookmarkStart w:id="233" w:name="_Toc256781387"/>
      <w:bookmarkStart w:id="234" w:name="_Toc412549204"/>
      <w:r>
        <w:t xml:space="preserve">Figure </w:t>
      </w:r>
      <w:fldSimple w:instr=" STYLEREF 1 \s ">
        <w:r w:rsidR="004A7BE8">
          <w:rPr>
            <w:noProof/>
          </w:rPr>
          <w:t>6</w:t>
        </w:r>
      </w:fldSimple>
      <w:r>
        <w:t xml:space="preserve">–9:  Load Impacts by LCA for August </w:t>
      </w:r>
      <w:r w:rsidR="00EB28A0">
        <w:t xml:space="preserve">Peak </w:t>
      </w:r>
      <w:r>
        <w:t xml:space="preserve">Day in a 1-in-2 </w:t>
      </w:r>
      <w:r w:rsidR="00EB28A0">
        <w:t xml:space="preserve">Utility-Peak </w:t>
      </w:r>
      <w:r>
        <w:t xml:space="preserve">Weather Year </w:t>
      </w:r>
      <w:r w:rsidR="00EB28A0">
        <w:t xml:space="preserve">in 2015 </w:t>
      </w:r>
      <w:r>
        <w:t>–</w:t>
      </w:r>
      <w:r w:rsidR="003B5771">
        <w:t xml:space="preserve"> </w:t>
      </w:r>
      <w:r w:rsidR="00EB28A0">
        <w:rPr>
          <w:i/>
        </w:rPr>
        <w:t>AMP DO</w:t>
      </w:r>
      <w:bookmarkEnd w:id="231"/>
      <w:bookmarkEnd w:id="232"/>
      <w:bookmarkEnd w:id="233"/>
      <w:bookmarkEnd w:id="234"/>
    </w:p>
    <w:p w:rsidR="00813579" w:rsidRDefault="00C66EB8" w:rsidP="00813579">
      <w:pPr>
        <w:jc w:val="center"/>
      </w:pPr>
      <w:r w:rsidRPr="00C66EB8">
        <w:rPr>
          <w:noProof/>
        </w:rPr>
        <w:drawing>
          <wp:inline distT="0" distB="0" distL="0" distR="0" wp14:anchorId="1BA0FB1D" wp14:editId="09CE4F52">
            <wp:extent cx="5486400" cy="3976072"/>
            <wp:effectExtent l="0" t="0" r="0" b="571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486400" cy="3976072"/>
                    </a:xfrm>
                    <a:prstGeom prst="rect">
                      <a:avLst/>
                    </a:prstGeom>
                    <a:noFill/>
                    <a:ln>
                      <a:noFill/>
                    </a:ln>
                  </pic:spPr>
                </pic:pic>
              </a:graphicData>
            </a:graphic>
          </wp:inline>
        </w:drawing>
      </w:r>
    </w:p>
    <w:p w:rsidR="00813579" w:rsidRDefault="00813579" w:rsidP="00813579"/>
    <w:p w:rsidR="00813579" w:rsidRDefault="00813579" w:rsidP="00813579">
      <w:pPr>
        <w:pStyle w:val="Heading3"/>
        <w:rPr>
          <w:sz w:val="22"/>
        </w:rPr>
      </w:pPr>
      <w:bookmarkStart w:id="235" w:name="_Toc382566024"/>
      <w:bookmarkStart w:id="236" w:name="_Toc415231794"/>
      <w:r>
        <w:rPr>
          <w:sz w:val="22"/>
        </w:rPr>
        <w:t>6.6.2 Hourly reference loads and load impacts</w:t>
      </w:r>
      <w:bookmarkEnd w:id="235"/>
      <w:bookmarkEnd w:id="236"/>
    </w:p>
    <w:p w:rsidR="00813579" w:rsidRDefault="00813579" w:rsidP="00813579">
      <w:r>
        <w:t>Figure 6–10 show</w:t>
      </w:r>
      <w:r w:rsidR="003B5771">
        <w:t>s</w:t>
      </w:r>
      <w:r>
        <w:t xml:space="preserve"> the hourly profiles of forecast loads and load impacts for a</w:t>
      </w:r>
      <w:r w:rsidR="003B5771">
        <w:t>n August peak</w:t>
      </w:r>
      <w:r>
        <w:t xml:space="preserve"> day in 2015, in a </w:t>
      </w:r>
      <w:r w:rsidR="003B5771">
        <w:t xml:space="preserve">utility-peak </w:t>
      </w:r>
      <w:r>
        <w:t>1-in-2 weather year, for SCE’s AMP DO. Event-hour load impacts average approximately 9</w:t>
      </w:r>
      <w:r w:rsidR="00A87350">
        <w:t>3</w:t>
      </w:r>
      <w:r>
        <w:t xml:space="preserve"> MW, which is 2</w:t>
      </w:r>
      <w:r w:rsidR="00A87350">
        <w:t>9</w:t>
      </w:r>
      <w:r>
        <w:t xml:space="preserve"> percent of the reference load.  </w:t>
      </w:r>
    </w:p>
    <w:p w:rsidR="00813579" w:rsidRDefault="00813579" w:rsidP="00813579"/>
    <w:p w:rsidR="00813579" w:rsidRDefault="00813579" w:rsidP="00813579">
      <w:pPr>
        <w:pStyle w:val="FigureCaption"/>
      </w:pPr>
      <w:bookmarkStart w:id="237" w:name="_Toc382565894"/>
      <w:bookmarkStart w:id="238" w:name="_Toc288467515"/>
      <w:bookmarkStart w:id="239" w:name="_Toc256781384"/>
      <w:bookmarkStart w:id="240" w:name="_Toc412549205"/>
      <w:r>
        <w:lastRenderedPageBreak/>
        <w:t xml:space="preserve">Figure </w:t>
      </w:r>
      <w:fldSimple w:instr=" STYLEREF 1 \s ">
        <w:r w:rsidR="004A7BE8">
          <w:rPr>
            <w:noProof/>
          </w:rPr>
          <w:t>6</w:t>
        </w:r>
      </w:fldSimple>
      <w:r>
        <w:t xml:space="preserve">–10: Hourly Event Day Load Impacts for the Typical Event Day in 2015 in a 1-in-2 Weather Year – </w:t>
      </w:r>
      <w:r>
        <w:rPr>
          <w:i/>
        </w:rPr>
        <w:t>SCE AMP DO</w:t>
      </w:r>
      <w:bookmarkEnd w:id="237"/>
      <w:bookmarkEnd w:id="238"/>
      <w:bookmarkEnd w:id="239"/>
      <w:bookmarkEnd w:id="240"/>
    </w:p>
    <w:p w:rsidR="00813579" w:rsidRDefault="00A87350" w:rsidP="00813579">
      <w:pPr>
        <w:keepNext/>
        <w:keepLines/>
        <w:jc w:val="center"/>
      </w:pPr>
      <w:r w:rsidRPr="00A87350">
        <w:rPr>
          <w:noProof/>
        </w:rPr>
        <w:drawing>
          <wp:inline distT="0" distB="0" distL="0" distR="0" wp14:anchorId="4AC5B0B7" wp14:editId="1D19319A">
            <wp:extent cx="5486400" cy="3719269"/>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486400" cy="3719269"/>
                    </a:xfrm>
                    <a:prstGeom prst="rect">
                      <a:avLst/>
                    </a:prstGeom>
                    <a:noFill/>
                    <a:ln>
                      <a:noFill/>
                    </a:ln>
                  </pic:spPr>
                </pic:pic>
              </a:graphicData>
            </a:graphic>
          </wp:inline>
        </w:drawing>
      </w:r>
    </w:p>
    <w:p w:rsidR="00813579" w:rsidRDefault="00813579" w:rsidP="00813579">
      <w:pPr>
        <w:keepNext/>
        <w:keepLines/>
        <w:jc w:val="center"/>
      </w:pPr>
    </w:p>
    <w:p w:rsidR="00813579" w:rsidRDefault="00813579" w:rsidP="00813579">
      <w:pPr>
        <w:pStyle w:val="Heading2"/>
      </w:pPr>
      <w:bookmarkStart w:id="241" w:name="_Toc382566025"/>
      <w:bookmarkStart w:id="242" w:name="_Toc415231795"/>
      <w:bookmarkEnd w:id="168"/>
      <w:r w:rsidRPr="00B979CB">
        <w:t xml:space="preserve">6.7 </w:t>
      </w:r>
      <w:r w:rsidRPr="00B979CB">
        <w:rPr>
          <w:i/>
        </w:rPr>
        <w:t>Ex-ante</w:t>
      </w:r>
      <w:r w:rsidRPr="00B979CB">
        <w:t xml:space="preserve"> Load Impacts for SDG&amp;E’s CBP</w:t>
      </w:r>
      <w:bookmarkEnd w:id="241"/>
      <w:bookmarkEnd w:id="242"/>
      <w:r w:rsidR="00047A87" w:rsidRPr="00B979CB">
        <w:t xml:space="preserve"> </w:t>
      </w:r>
    </w:p>
    <w:p w:rsidR="00813579" w:rsidRDefault="00813579" w:rsidP="00813579">
      <w:pPr>
        <w:pStyle w:val="Heading3"/>
        <w:rPr>
          <w:sz w:val="22"/>
        </w:rPr>
      </w:pPr>
      <w:bookmarkStart w:id="243" w:name="_Toc382566026"/>
      <w:bookmarkStart w:id="244" w:name="_Toc415231796"/>
      <w:r>
        <w:rPr>
          <w:sz w:val="22"/>
        </w:rPr>
        <w:t>6.7.1 Enrollment forecasts, reference loads and load impacts</w:t>
      </w:r>
      <w:bookmarkEnd w:id="243"/>
      <w:bookmarkEnd w:id="244"/>
    </w:p>
    <w:p w:rsidR="00612044" w:rsidRDefault="00612044" w:rsidP="00813579">
      <w:r>
        <w:t xml:space="preserve">SDG&amp;E plans two changes in CBP beginning in 2015. One adds a 30-minute notice option to the two-hour DO product. The other opens CBP to small customers of less than 20 kW in size. However, there is currently not sufficient evidence regarding adoption rates for these options, so we have taken the conservative approach of not adding new small </w:t>
      </w:r>
      <w:r w:rsidR="00595F10">
        <w:t>service accounts</w:t>
      </w:r>
      <w:r>
        <w:t xml:space="preserve"> to the enrollment forecast, and assuming that customers choosing the short-notice option will behave similarly to the current customers. These assumptions may be modified in next year’s evaluation, depending on results of the ex-post load impact analysis. </w:t>
      </w:r>
    </w:p>
    <w:p w:rsidR="00612044" w:rsidRDefault="00612044" w:rsidP="00813579"/>
    <w:p w:rsidR="00CA45A8" w:rsidRDefault="00813579" w:rsidP="00813579">
      <w:r>
        <w:t xml:space="preserve">The enrollment forecast provided by SDG&amp;E for this report anticipates that </w:t>
      </w:r>
      <w:r w:rsidR="00612044">
        <w:t>the number of nominated customer</w:t>
      </w:r>
      <w:r w:rsidR="00076A3A">
        <w:t xml:space="preserve"> </w:t>
      </w:r>
      <w:r w:rsidR="00612044">
        <w:t>s</w:t>
      </w:r>
      <w:r w:rsidR="00076A3A">
        <w:t>ervice accounts</w:t>
      </w:r>
      <w:r w:rsidR="00612044">
        <w:t xml:space="preserve"> for</w:t>
      </w:r>
      <w:r>
        <w:t xml:space="preserve"> </w:t>
      </w:r>
      <w:r w:rsidR="003329BA">
        <w:t xml:space="preserve">CBP DA will remain steady at 159, while </w:t>
      </w:r>
      <w:r>
        <w:t xml:space="preserve">CBP DO will </w:t>
      </w:r>
      <w:r w:rsidR="00612044">
        <w:t xml:space="preserve">increase </w:t>
      </w:r>
      <w:r w:rsidR="003329BA">
        <w:t>somewhat</w:t>
      </w:r>
      <w:r w:rsidR="00612044">
        <w:t xml:space="preserve"> through the summer of 2015, </w:t>
      </w:r>
      <w:r w:rsidR="003329BA">
        <w:t xml:space="preserve">from 239 in May, to 284 in October, and </w:t>
      </w:r>
      <w:r w:rsidR="00612044">
        <w:t xml:space="preserve">then </w:t>
      </w:r>
      <w:r>
        <w:t xml:space="preserve">remain constant over the forecast period. </w:t>
      </w:r>
    </w:p>
    <w:p w:rsidR="003329BA" w:rsidRDefault="003329BA" w:rsidP="00813579"/>
    <w:p w:rsidR="00813579" w:rsidRDefault="00813579" w:rsidP="00813579">
      <w:r>
        <w:t xml:space="preserve">Table 6–6 compares DA and DO </w:t>
      </w:r>
      <w:r w:rsidR="00CA45A8">
        <w:t xml:space="preserve">(separately for DO 1-4 and 2-6) </w:t>
      </w:r>
      <w:r>
        <w:t>load impacts for an August peak day in 1-in-2 and 1-in-10 weather years</w:t>
      </w:r>
      <w:r w:rsidR="00CA45A8">
        <w:t>, under the utility-peak and CAISO-peak scenarios</w:t>
      </w:r>
      <w:r>
        <w:t xml:space="preserve">. Average event-hour load impacts </w:t>
      </w:r>
      <w:r w:rsidR="00CA45A8">
        <w:t xml:space="preserve">vary slightly across scenarios in </w:t>
      </w:r>
      <w:r w:rsidR="00CA45A8">
        <w:lastRenderedPageBreak/>
        <w:t>expected ways, and are</w:t>
      </w:r>
      <w:r>
        <w:t xml:space="preserve"> </w:t>
      </w:r>
      <w:r w:rsidR="009E3F7E">
        <w:t>1</w:t>
      </w:r>
      <w:r w:rsidR="003329BA">
        <w:t>1</w:t>
      </w:r>
      <w:r w:rsidR="009E3F7E">
        <w:t>.</w:t>
      </w:r>
      <w:r w:rsidR="003329BA">
        <w:t>9</w:t>
      </w:r>
      <w:r>
        <w:t xml:space="preserve"> MW for DA and </w:t>
      </w:r>
      <w:r w:rsidR="009E3F7E">
        <w:t>9.7</w:t>
      </w:r>
      <w:r w:rsidR="003329BA">
        <w:t>8</w:t>
      </w:r>
      <w:r w:rsidR="009E3F7E">
        <w:t xml:space="preserve"> </w:t>
      </w:r>
      <w:r>
        <w:t xml:space="preserve">MW for DO in </w:t>
      </w:r>
      <w:r w:rsidR="00CA45A8">
        <w:t xml:space="preserve">the </w:t>
      </w:r>
      <w:r>
        <w:t xml:space="preserve">1-in-2 </w:t>
      </w:r>
      <w:r w:rsidR="00CA45A8">
        <w:t xml:space="preserve">utility-peak </w:t>
      </w:r>
      <w:r>
        <w:t>weather scenario.</w:t>
      </w:r>
    </w:p>
    <w:p w:rsidR="00813579" w:rsidRDefault="00813579" w:rsidP="00813579"/>
    <w:p w:rsidR="00813579" w:rsidRDefault="00813579" w:rsidP="00813579">
      <w:pPr>
        <w:pStyle w:val="TableCaption"/>
      </w:pPr>
      <w:bookmarkStart w:id="245" w:name="_Toc382565946"/>
      <w:bookmarkStart w:id="246" w:name="_Toc414545922"/>
      <w:r>
        <w:t>Table 6–6:  Average Event-Hour Load Impacts for an August Peak Day in 1-in-2 and 1-in-10 Weather Years (201</w:t>
      </w:r>
      <w:r w:rsidR="006C006B">
        <w:t>5</w:t>
      </w:r>
      <w:r>
        <w:t xml:space="preserve"> – 202</w:t>
      </w:r>
      <w:r w:rsidR="006C006B">
        <w:t>5</w:t>
      </w:r>
      <w:r>
        <w:t xml:space="preserve">) – </w:t>
      </w:r>
      <w:r>
        <w:rPr>
          <w:i/>
        </w:rPr>
        <w:t>SDG&amp;E CBP DA and DO</w:t>
      </w:r>
      <w:bookmarkEnd w:id="245"/>
      <w:bookmarkEnd w:id="246"/>
    </w:p>
    <w:p w:rsidR="00813579" w:rsidRDefault="003329BA" w:rsidP="00813579">
      <w:pPr>
        <w:jc w:val="center"/>
      </w:pPr>
      <w:r w:rsidRPr="003329BA">
        <w:rPr>
          <w:noProof/>
        </w:rPr>
        <w:drawing>
          <wp:inline distT="0" distB="0" distL="0" distR="0" wp14:anchorId="2C31D7F9" wp14:editId="0F372FA6">
            <wp:extent cx="3228975" cy="11239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228975" cy="1123950"/>
                    </a:xfrm>
                    <a:prstGeom prst="rect">
                      <a:avLst/>
                    </a:prstGeom>
                    <a:noFill/>
                    <a:ln>
                      <a:noFill/>
                    </a:ln>
                  </pic:spPr>
                </pic:pic>
              </a:graphicData>
            </a:graphic>
          </wp:inline>
        </w:drawing>
      </w:r>
    </w:p>
    <w:p w:rsidR="00813579" w:rsidRDefault="00813579" w:rsidP="00813579">
      <w:pPr>
        <w:pStyle w:val="Heading3"/>
        <w:rPr>
          <w:sz w:val="22"/>
        </w:rPr>
      </w:pPr>
      <w:bookmarkStart w:id="247" w:name="_Toc382566027"/>
      <w:bookmarkStart w:id="248" w:name="_Toc415231797"/>
      <w:r>
        <w:rPr>
          <w:sz w:val="22"/>
        </w:rPr>
        <w:t>6.7.2 Hourly reference loads and load impacts</w:t>
      </w:r>
      <w:bookmarkEnd w:id="247"/>
      <w:bookmarkEnd w:id="248"/>
    </w:p>
    <w:p w:rsidR="00813579" w:rsidRDefault="00813579" w:rsidP="00813579">
      <w:r>
        <w:t xml:space="preserve">Figure 6–12 shows </w:t>
      </w:r>
      <w:r>
        <w:rPr>
          <w:i/>
        </w:rPr>
        <w:t>ex-ante</w:t>
      </w:r>
      <w:r>
        <w:t xml:space="preserve"> hourly reference load, event-day load, and load impacts for the August peak day in 2015 in a 1-in-2 </w:t>
      </w:r>
      <w:r w:rsidR="009E3F7E">
        <w:t xml:space="preserve">utility-peak </w:t>
      </w:r>
      <w:r>
        <w:t>weather year for CBP DA. Figure 6–13 shows comparable information for CBP DO</w:t>
      </w:r>
      <w:r w:rsidR="009E3F7E">
        <w:t xml:space="preserve"> 1-4</w:t>
      </w:r>
      <w:r>
        <w:t xml:space="preserve">. </w:t>
      </w:r>
    </w:p>
    <w:p w:rsidR="00813579" w:rsidRDefault="00813579" w:rsidP="00813579"/>
    <w:p w:rsidR="00813579" w:rsidRDefault="00813579" w:rsidP="00813579">
      <w:pPr>
        <w:pStyle w:val="FigureCaption"/>
        <w:keepLines/>
      </w:pPr>
      <w:bookmarkStart w:id="249" w:name="_Toc227658428"/>
      <w:bookmarkStart w:id="250" w:name="_Toc227022619"/>
      <w:bookmarkStart w:id="251" w:name="_Toc288467519"/>
      <w:bookmarkStart w:id="252" w:name="_Toc256781377"/>
      <w:bookmarkStart w:id="253" w:name="_Toc382565895"/>
      <w:bookmarkStart w:id="254" w:name="_Toc412549206"/>
      <w:r>
        <w:t xml:space="preserve">Figure 6–12:  Hourly Event-Day Load Impacts for the </w:t>
      </w:r>
      <w:r w:rsidR="009E3F7E">
        <w:t xml:space="preserve">August Monthly Peak </w:t>
      </w:r>
      <w:r>
        <w:t xml:space="preserve">Day in 2015 in a 1-in-2 </w:t>
      </w:r>
      <w:bookmarkEnd w:id="249"/>
      <w:bookmarkEnd w:id="250"/>
      <w:bookmarkEnd w:id="251"/>
      <w:bookmarkEnd w:id="252"/>
      <w:r w:rsidR="009E3F7E">
        <w:t xml:space="preserve">Utility-Peak </w:t>
      </w:r>
      <w:r>
        <w:t xml:space="preserve">Weather Year – </w:t>
      </w:r>
      <w:r>
        <w:rPr>
          <w:i/>
        </w:rPr>
        <w:t>SDG&amp;E CBP DA</w:t>
      </w:r>
      <w:bookmarkEnd w:id="253"/>
      <w:bookmarkEnd w:id="254"/>
      <w:r>
        <w:t xml:space="preserve"> </w:t>
      </w:r>
    </w:p>
    <w:p w:rsidR="00813579" w:rsidRDefault="00173615" w:rsidP="00813579">
      <w:pPr>
        <w:jc w:val="center"/>
      </w:pPr>
      <w:bookmarkStart w:id="255" w:name="_Toc288467520"/>
      <w:bookmarkStart w:id="256" w:name="_Toc256781378"/>
      <w:r w:rsidRPr="00173615">
        <w:rPr>
          <w:noProof/>
        </w:rPr>
        <w:drawing>
          <wp:inline distT="0" distB="0" distL="0" distR="0" wp14:anchorId="532B9A0B" wp14:editId="4AC16E50">
            <wp:extent cx="5486400" cy="371659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486400" cy="3716594"/>
                    </a:xfrm>
                    <a:prstGeom prst="rect">
                      <a:avLst/>
                    </a:prstGeom>
                    <a:noFill/>
                    <a:ln>
                      <a:noFill/>
                    </a:ln>
                  </pic:spPr>
                </pic:pic>
              </a:graphicData>
            </a:graphic>
          </wp:inline>
        </w:drawing>
      </w:r>
    </w:p>
    <w:p w:rsidR="00813579" w:rsidRDefault="00813579" w:rsidP="00813579">
      <w:pPr>
        <w:jc w:val="center"/>
      </w:pPr>
    </w:p>
    <w:p w:rsidR="00813579" w:rsidRDefault="00813579" w:rsidP="00813579">
      <w:pPr>
        <w:pStyle w:val="FigureCaption"/>
        <w:rPr>
          <w:i/>
        </w:rPr>
      </w:pPr>
      <w:bookmarkStart w:id="257" w:name="_Toc382565896"/>
      <w:bookmarkStart w:id="258" w:name="_Toc412549207"/>
      <w:r>
        <w:lastRenderedPageBreak/>
        <w:t xml:space="preserve">Figure 6–13: Hourly </w:t>
      </w:r>
      <w:r w:rsidR="009E3F7E">
        <w:t xml:space="preserve">Event-Day </w:t>
      </w:r>
      <w:r>
        <w:t xml:space="preserve">Load Impacts for the </w:t>
      </w:r>
      <w:r w:rsidR="009E3F7E">
        <w:t xml:space="preserve">August Monthly Peak </w:t>
      </w:r>
      <w:r>
        <w:t xml:space="preserve">Day in 2015 in a 1-in-2 </w:t>
      </w:r>
      <w:r w:rsidR="009E3F7E">
        <w:t xml:space="preserve">Utility-Peak </w:t>
      </w:r>
      <w:r>
        <w:t xml:space="preserve">Weather Year – </w:t>
      </w:r>
      <w:r>
        <w:rPr>
          <w:i/>
        </w:rPr>
        <w:t>SDG&amp;E CBP DO</w:t>
      </w:r>
      <w:bookmarkEnd w:id="255"/>
      <w:bookmarkEnd w:id="256"/>
      <w:bookmarkEnd w:id="257"/>
      <w:bookmarkEnd w:id="258"/>
      <w:r w:rsidR="009E3F7E">
        <w:rPr>
          <w:i/>
        </w:rPr>
        <w:t xml:space="preserve"> 1-4</w:t>
      </w:r>
    </w:p>
    <w:p w:rsidR="00813579" w:rsidRDefault="00173615" w:rsidP="00813579">
      <w:pPr>
        <w:jc w:val="center"/>
      </w:pPr>
      <w:r w:rsidRPr="00173615">
        <w:rPr>
          <w:noProof/>
        </w:rPr>
        <w:drawing>
          <wp:inline distT="0" distB="0" distL="0" distR="0" wp14:anchorId="79B1D67D" wp14:editId="367E7B09">
            <wp:extent cx="5486400" cy="371659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486400" cy="3716594"/>
                    </a:xfrm>
                    <a:prstGeom prst="rect">
                      <a:avLst/>
                    </a:prstGeom>
                    <a:noFill/>
                    <a:ln>
                      <a:noFill/>
                    </a:ln>
                  </pic:spPr>
                </pic:pic>
              </a:graphicData>
            </a:graphic>
          </wp:inline>
        </w:drawing>
      </w:r>
    </w:p>
    <w:p w:rsidR="00813579" w:rsidRDefault="00DF7B6A" w:rsidP="00DF7B6A">
      <w:pPr>
        <w:pStyle w:val="Heading1"/>
        <w:numPr>
          <w:ilvl w:val="0"/>
          <w:numId w:val="0"/>
        </w:numPr>
      </w:pPr>
      <w:bookmarkStart w:id="259" w:name="_Toc382566028"/>
      <w:bookmarkStart w:id="260" w:name="_Toc415231798"/>
      <w:r>
        <w:t>7.</w:t>
      </w:r>
      <w:r>
        <w:tab/>
      </w:r>
      <w:r w:rsidR="00813579">
        <w:t xml:space="preserve">Comparisons of </w:t>
      </w:r>
      <w:r w:rsidR="00FC7181">
        <w:rPr>
          <w:i/>
        </w:rPr>
        <w:t>Ex</w:t>
      </w:r>
      <w:r w:rsidR="00813579">
        <w:rPr>
          <w:i/>
        </w:rPr>
        <w:t>-Post</w:t>
      </w:r>
      <w:r w:rsidR="00813579">
        <w:t xml:space="preserve"> and </w:t>
      </w:r>
      <w:r w:rsidR="00813579">
        <w:rPr>
          <w:i/>
        </w:rPr>
        <w:t>Ex-ante</w:t>
      </w:r>
      <w:r w:rsidR="00813579">
        <w:t xml:space="preserve"> Results</w:t>
      </w:r>
      <w:bookmarkEnd w:id="259"/>
      <w:bookmarkEnd w:id="260"/>
    </w:p>
    <w:p w:rsidR="00813579" w:rsidRDefault="00A102B2" w:rsidP="00813579">
      <w:r>
        <w:t>In an effort t</w:t>
      </w:r>
      <w:r w:rsidR="00813579">
        <w:t xml:space="preserve">o improve the transparency of the </w:t>
      </w:r>
      <w:r>
        <w:t>relationship</w:t>
      </w:r>
      <w:r w:rsidR="00813579">
        <w:t xml:space="preserve"> between </w:t>
      </w:r>
      <w:r w:rsidR="00813579">
        <w:rPr>
          <w:i/>
        </w:rPr>
        <w:t>ex-post</w:t>
      </w:r>
      <w:r w:rsidR="00813579">
        <w:t xml:space="preserve"> and </w:t>
      </w:r>
      <w:r w:rsidR="00813579">
        <w:rPr>
          <w:i/>
        </w:rPr>
        <w:t>ex-ante</w:t>
      </w:r>
      <w:r w:rsidR="00813579">
        <w:t xml:space="preserve"> results, this section compares several sets of estimated load impacts for each utility</w:t>
      </w:r>
      <w:r w:rsidR="0032387A">
        <w:t xml:space="preserve"> and program</w:t>
      </w:r>
      <w:r w:rsidR="00813579">
        <w:t>, including the following:</w:t>
      </w:r>
    </w:p>
    <w:p w:rsidR="00813579" w:rsidRDefault="00813579" w:rsidP="00813579">
      <w:pPr>
        <w:numPr>
          <w:ilvl w:val="0"/>
          <w:numId w:val="27"/>
        </w:numPr>
      </w:pPr>
      <w:r>
        <w:rPr>
          <w:i/>
        </w:rPr>
        <w:t>Ex-post</w:t>
      </w:r>
      <w:r>
        <w:t xml:space="preserve"> load impacts from the current and previous studies;</w:t>
      </w:r>
    </w:p>
    <w:p w:rsidR="00813579" w:rsidRDefault="00813579" w:rsidP="00813579">
      <w:pPr>
        <w:numPr>
          <w:ilvl w:val="0"/>
          <w:numId w:val="27"/>
        </w:numPr>
      </w:pPr>
      <w:r>
        <w:rPr>
          <w:i/>
        </w:rPr>
        <w:t>Ex-ante</w:t>
      </w:r>
      <w:r>
        <w:t xml:space="preserve"> load impacts from the current and previous studies; </w:t>
      </w:r>
    </w:p>
    <w:p w:rsidR="00813579" w:rsidRDefault="00813579" w:rsidP="00813579">
      <w:pPr>
        <w:numPr>
          <w:ilvl w:val="0"/>
          <w:numId w:val="27"/>
        </w:numPr>
      </w:pPr>
      <w:r>
        <w:t xml:space="preserve">Current </w:t>
      </w:r>
      <w:r>
        <w:rPr>
          <w:i/>
        </w:rPr>
        <w:t>ex-post</w:t>
      </w:r>
      <w:r>
        <w:t xml:space="preserve"> and </w:t>
      </w:r>
      <w:r>
        <w:rPr>
          <w:i/>
        </w:rPr>
        <w:t>ex-ante</w:t>
      </w:r>
      <w:r>
        <w:t xml:space="preserve"> load impacts; and</w:t>
      </w:r>
    </w:p>
    <w:p w:rsidR="00813579" w:rsidRDefault="00813579" w:rsidP="00813579">
      <w:pPr>
        <w:numPr>
          <w:ilvl w:val="0"/>
          <w:numId w:val="27"/>
        </w:numPr>
      </w:pPr>
      <w:r>
        <w:t xml:space="preserve">Current </w:t>
      </w:r>
      <w:r>
        <w:rPr>
          <w:i/>
        </w:rPr>
        <w:t>ex-post</w:t>
      </w:r>
      <w:r>
        <w:t xml:space="preserve"> and previous </w:t>
      </w:r>
      <w:r>
        <w:rPr>
          <w:i/>
        </w:rPr>
        <w:t>ex-ante</w:t>
      </w:r>
      <w:r>
        <w:t xml:space="preserve"> load impacts.</w:t>
      </w:r>
    </w:p>
    <w:p w:rsidR="00813579" w:rsidRDefault="00813579" w:rsidP="00813579"/>
    <w:p w:rsidR="00813579" w:rsidRDefault="00A102B2" w:rsidP="00813579">
      <w:r>
        <w:t xml:space="preserve">The term “current” refers to this report, which presents </w:t>
      </w:r>
      <w:r w:rsidRPr="00A102B2">
        <w:rPr>
          <w:i/>
        </w:rPr>
        <w:t>ex-post</w:t>
      </w:r>
      <w:r>
        <w:t xml:space="preserve"> </w:t>
      </w:r>
      <w:r w:rsidR="00FB366B">
        <w:t xml:space="preserve">results for PY2014, </w:t>
      </w:r>
      <w:r>
        <w:t xml:space="preserve">and </w:t>
      </w:r>
      <w:r w:rsidRPr="00A102B2">
        <w:rPr>
          <w:i/>
        </w:rPr>
        <w:t>ex-ante</w:t>
      </w:r>
      <w:r>
        <w:t xml:space="preserve"> </w:t>
      </w:r>
      <w:r w:rsidR="00FB366B">
        <w:t xml:space="preserve">forecasts </w:t>
      </w:r>
      <w:r>
        <w:t>for 201</w:t>
      </w:r>
      <w:r w:rsidR="00FB366B">
        <w:t>5 through 2025</w:t>
      </w:r>
      <w:r>
        <w:t xml:space="preserve">. The term “previous” refers to findings in reports for PY2013, and in some cases earlier. </w:t>
      </w:r>
      <w:r w:rsidR="00813579">
        <w:t xml:space="preserve">In the </w:t>
      </w:r>
      <w:r w:rsidR="00FB366B">
        <w:t xml:space="preserve">tables below, we combine the first and </w:t>
      </w:r>
      <w:r w:rsidR="00813579">
        <w:t>third comparison</w:t>
      </w:r>
      <w:r w:rsidR="00FB366B">
        <w:t>s</w:t>
      </w:r>
      <w:r>
        <w:t xml:space="preserve"> above</w:t>
      </w:r>
      <w:r w:rsidR="00FB366B">
        <w:t xml:space="preserve"> by showing </w:t>
      </w:r>
      <w:r w:rsidR="00FB366B" w:rsidRPr="00FB366B">
        <w:rPr>
          <w:i/>
        </w:rPr>
        <w:t>ex-post</w:t>
      </w:r>
      <w:r w:rsidR="00FB366B">
        <w:t xml:space="preserve"> load impacts for the current and two previous studies, along with ex-ante forecast</w:t>
      </w:r>
      <w:r w:rsidR="0032387A">
        <w:t>s</w:t>
      </w:r>
      <w:r w:rsidR="00FB366B">
        <w:t xml:space="preserve"> for 2015. W</w:t>
      </w:r>
      <w:r w:rsidR="0032387A">
        <w:t>e</w:t>
      </w:r>
      <w:r w:rsidR="00FB366B">
        <w:t xml:space="preserve"> begin in the next sub-section by summarizing the process for developing </w:t>
      </w:r>
      <w:r w:rsidR="00813579">
        <w:t xml:space="preserve">the </w:t>
      </w:r>
      <w:r w:rsidR="00813579">
        <w:rPr>
          <w:i/>
        </w:rPr>
        <w:t>ex-ante</w:t>
      </w:r>
      <w:r w:rsidR="00813579">
        <w:t xml:space="preserve"> forecast (of the 1-in-2 August peak day) for 201</w:t>
      </w:r>
      <w:r>
        <w:t>5</w:t>
      </w:r>
      <w:r w:rsidR="00813579">
        <w:t xml:space="preserve"> from the </w:t>
      </w:r>
      <w:r w:rsidR="00FB366B">
        <w:rPr>
          <w:i/>
        </w:rPr>
        <w:t>ex-post</w:t>
      </w:r>
      <w:r w:rsidR="00FB366B">
        <w:t xml:space="preserve"> load impacts from </w:t>
      </w:r>
      <w:r w:rsidR="00813579">
        <w:t>PY2014</w:t>
      </w:r>
      <w:r w:rsidR="00FB366B">
        <w:t xml:space="preserve"> and, where relevant, from the two prior years</w:t>
      </w:r>
      <w:r w:rsidR="00813579">
        <w:t xml:space="preserve">. </w:t>
      </w:r>
    </w:p>
    <w:p w:rsidR="00813579" w:rsidRDefault="00813579" w:rsidP="00813579">
      <w:pPr>
        <w:pStyle w:val="Heading2"/>
      </w:pPr>
      <w:bookmarkStart w:id="261" w:name="_Toc380074041"/>
      <w:bookmarkStart w:id="262" w:name="_Toc382566029"/>
      <w:bookmarkStart w:id="263" w:name="_Toc415231799"/>
      <w:r>
        <w:lastRenderedPageBreak/>
        <w:t xml:space="preserve">7.1 Link between </w:t>
      </w:r>
      <w:r>
        <w:rPr>
          <w:i/>
        </w:rPr>
        <w:t xml:space="preserve">ex-post </w:t>
      </w:r>
      <w:r>
        <w:t xml:space="preserve">results and </w:t>
      </w:r>
      <w:r>
        <w:rPr>
          <w:i/>
        </w:rPr>
        <w:t>ex-ante</w:t>
      </w:r>
      <w:r>
        <w:t xml:space="preserve"> </w:t>
      </w:r>
      <w:bookmarkEnd w:id="261"/>
      <w:r>
        <w:t>forecasts</w:t>
      </w:r>
      <w:bookmarkEnd w:id="262"/>
      <w:bookmarkEnd w:id="263"/>
    </w:p>
    <w:p w:rsidR="00813579" w:rsidRDefault="00813579" w:rsidP="00813579">
      <w:r>
        <w:t xml:space="preserve">As a preview to this section, </w:t>
      </w:r>
      <w:r w:rsidR="00FB366B">
        <w:t xml:space="preserve">we first summarize the detailed description in </w:t>
      </w:r>
      <w:r>
        <w:t xml:space="preserve">Section 6 </w:t>
      </w:r>
      <w:r w:rsidR="00FB366B">
        <w:t xml:space="preserve">of </w:t>
      </w:r>
      <w:r>
        <w:t xml:space="preserve">how the </w:t>
      </w:r>
      <w:r>
        <w:rPr>
          <w:i/>
        </w:rPr>
        <w:t>ex-ante</w:t>
      </w:r>
      <w:r>
        <w:t xml:space="preserve"> load impact forecasts </w:t>
      </w:r>
      <w:r w:rsidR="0032387A">
        <w:t xml:space="preserve">for aggregator programs </w:t>
      </w:r>
      <w:r>
        <w:t xml:space="preserve">incorporate historical information from previous </w:t>
      </w:r>
      <w:r>
        <w:rPr>
          <w:i/>
        </w:rPr>
        <w:t>ex-post</w:t>
      </w:r>
      <w:r>
        <w:t xml:space="preserve"> load impact evaluations, including the following: </w:t>
      </w:r>
    </w:p>
    <w:p w:rsidR="00813579" w:rsidRDefault="00813579" w:rsidP="00813579">
      <w:pPr>
        <w:pStyle w:val="ListParagraph"/>
        <w:numPr>
          <w:ilvl w:val="0"/>
          <w:numId w:val="28"/>
        </w:numPr>
      </w:pPr>
      <w:r w:rsidRPr="00FB366B">
        <w:rPr>
          <w:i/>
        </w:rPr>
        <w:t>Percentage load impacts</w:t>
      </w:r>
      <w:r>
        <w:t xml:space="preserve"> </w:t>
      </w:r>
      <w:r w:rsidR="00A102B2">
        <w:t xml:space="preserve">for each </w:t>
      </w:r>
      <w:r>
        <w:t xml:space="preserve">customer are constructed from up to three years of </w:t>
      </w:r>
      <w:r>
        <w:rPr>
          <w:i/>
        </w:rPr>
        <w:t>ex-post</w:t>
      </w:r>
      <w:r>
        <w:t xml:space="preserve"> load impact results for service accounts that were enrolled </w:t>
      </w:r>
      <w:r w:rsidR="00FB366B">
        <w:t xml:space="preserve">and nominated </w:t>
      </w:r>
      <w:r>
        <w:t xml:space="preserve">in PY2014. </w:t>
      </w:r>
    </w:p>
    <w:p w:rsidR="00813579" w:rsidRDefault="00B007EF" w:rsidP="00813579">
      <w:pPr>
        <w:pStyle w:val="ListParagraph"/>
        <w:numPr>
          <w:ilvl w:val="0"/>
          <w:numId w:val="28"/>
        </w:numPr>
      </w:pPr>
      <w:r w:rsidRPr="00FB366B">
        <w:rPr>
          <w:i/>
        </w:rPr>
        <w:t>R</w:t>
      </w:r>
      <w:r w:rsidR="00813579" w:rsidRPr="00FB366B">
        <w:rPr>
          <w:i/>
        </w:rPr>
        <w:t>eference loads</w:t>
      </w:r>
      <w:r w:rsidR="00813579">
        <w:t xml:space="preserve"> </w:t>
      </w:r>
      <w:r>
        <w:t xml:space="preserve">for each </w:t>
      </w:r>
      <w:r w:rsidR="00813579">
        <w:t xml:space="preserve">customer are simulated for </w:t>
      </w:r>
      <w:r>
        <w:t>each</w:t>
      </w:r>
      <w:r w:rsidR="00813579">
        <w:t xml:space="preserve"> </w:t>
      </w:r>
      <w:r w:rsidR="00FB366B">
        <w:t xml:space="preserve">of the four </w:t>
      </w:r>
      <w:r w:rsidR="00813579">
        <w:rPr>
          <w:i/>
        </w:rPr>
        <w:t>ex-ante</w:t>
      </w:r>
      <w:r>
        <w:t xml:space="preserve"> weather scenario</w:t>
      </w:r>
      <w:r w:rsidR="00FB366B">
        <w:t>s</w:t>
      </w:r>
      <w:r w:rsidR="00813579">
        <w:t xml:space="preserve"> using equations developed from regression analysis of load and weather data for the current program year.</w:t>
      </w:r>
    </w:p>
    <w:p w:rsidR="00813579" w:rsidRDefault="00813579" w:rsidP="00813579">
      <w:pPr>
        <w:pStyle w:val="ListParagraph"/>
        <w:numPr>
          <w:ilvl w:val="0"/>
          <w:numId w:val="28"/>
        </w:numPr>
      </w:pPr>
      <w:r>
        <w:t xml:space="preserve">Average </w:t>
      </w:r>
      <w:r>
        <w:rPr>
          <w:i/>
        </w:rPr>
        <w:t>ex-ante</w:t>
      </w:r>
      <w:r>
        <w:t xml:space="preserve"> load impacts per customer are created for each</w:t>
      </w:r>
      <w:r w:rsidR="0032387A">
        <w:t xml:space="preserve"> cell representing an</w:t>
      </w:r>
      <w:r>
        <w:t xml:space="preserve"> LCA and size category (PG&amp;E only)</w:t>
      </w:r>
      <w:r w:rsidR="0032387A">
        <w:t>. These averages are</w:t>
      </w:r>
      <w:r>
        <w:t xml:space="preserve"> based on </w:t>
      </w:r>
      <w:r w:rsidR="0032387A">
        <w:t xml:space="preserve">data on </w:t>
      </w:r>
      <w:r>
        <w:t>percentage load reductions and forecasted reference loads</w:t>
      </w:r>
      <w:r w:rsidR="00AC4D4F">
        <w:t xml:space="preserve"> for each customer account in the relevant cell</w:t>
      </w:r>
      <w:r>
        <w:t xml:space="preserve">, </w:t>
      </w:r>
      <w:r w:rsidR="00AC4D4F">
        <w:t xml:space="preserve">which are developed </w:t>
      </w:r>
      <w:r>
        <w:t>as described in the previous two points.</w:t>
      </w:r>
    </w:p>
    <w:p w:rsidR="00813579" w:rsidRDefault="00813579" w:rsidP="00813579">
      <w:pPr>
        <w:pStyle w:val="ListParagraph"/>
        <w:numPr>
          <w:ilvl w:val="0"/>
          <w:numId w:val="28"/>
        </w:numPr>
      </w:pPr>
      <w:r>
        <w:rPr>
          <w:i/>
        </w:rPr>
        <w:t>Ex-ante</w:t>
      </w:r>
      <w:r>
        <w:t xml:space="preserve"> load impacts per customer are then multiplied by the enrollment forecasts provided by the utilities, differentiated by LCA </w:t>
      </w:r>
      <w:r w:rsidR="00AC4D4F">
        <w:t xml:space="preserve">(and size) </w:t>
      </w:r>
      <w:r>
        <w:t>as needed.</w:t>
      </w:r>
    </w:p>
    <w:p w:rsidR="00813579" w:rsidRDefault="00813579" w:rsidP="00813579"/>
    <w:p w:rsidR="00813579" w:rsidRDefault="00813579" w:rsidP="00813579">
      <w:r>
        <w:t xml:space="preserve">The </w:t>
      </w:r>
      <w:r w:rsidR="00834360">
        <w:t xml:space="preserve">above </w:t>
      </w:r>
      <w:r>
        <w:t xml:space="preserve">categories of relationships between </w:t>
      </w:r>
      <w:r>
        <w:rPr>
          <w:i/>
        </w:rPr>
        <w:t>ex-post</w:t>
      </w:r>
      <w:r>
        <w:t xml:space="preserve"> and </w:t>
      </w:r>
      <w:r>
        <w:rPr>
          <w:i/>
        </w:rPr>
        <w:t>ex-ante</w:t>
      </w:r>
      <w:r>
        <w:t xml:space="preserve"> load impacts are presented in the following sub-sections, organized by utility.</w:t>
      </w:r>
    </w:p>
    <w:p w:rsidR="00813579" w:rsidRDefault="00813579" w:rsidP="00813579">
      <w:pPr>
        <w:pStyle w:val="Heading2"/>
      </w:pPr>
      <w:bookmarkStart w:id="264" w:name="_Toc382566030"/>
      <w:bookmarkStart w:id="265" w:name="_Toc415231800"/>
      <w:r>
        <w:t>7.2 PG&amp;E CBP and AMP</w:t>
      </w:r>
      <w:bookmarkEnd w:id="264"/>
      <w:bookmarkEnd w:id="265"/>
    </w:p>
    <w:p w:rsidR="00813579" w:rsidRDefault="00813579" w:rsidP="00813579">
      <w:r>
        <w:t xml:space="preserve">This section provides information on </w:t>
      </w:r>
      <w:r>
        <w:rPr>
          <w:i/>
        </w:rPr>
        <w:t>ex-post</w:t>
      </w:r>
      <w:r>
        <w:t xml:space="preserve"> and </w:t>
      </w:r>
      <w:r>
        <w:rPr>
          <w:i/>
        </w:rPr>
        <w:t>ex-ante</w:t>
      </w:r>
      <w:r>
        <w:t xml:space="preserve"> load impacts for PG&amp;E. </w:t>
      </w:r>
    </w:p>
    <w:p w:rsidR="00813579" w:rsidRDefault="00813579" w:rsidP="00813579">
      <w:pPr>
        <w:pStyle w:val="Heading3"/>
      </w:pPr>
      <w:bookmarkStart w:id="266" w:name="_Toc382566031"/>
      <w:bookmarkStart w:id="267" w:name="_Toc415231801"/>
      <w:r>
        <w:t>7.2.1 Previous and current ex-post, and forecast for 201</w:t>
      </w:r>
      <w:r w:rsidR="00782932">
        <w:t>5</w:t>
      </w:r>
      <w:bookmarkEnd w:id="266"/>
      <w:bookmarkEnd w:id="267"/>
    </w:p>
    <w:p w:rsidR="00813579" w:rsidRDefault="00813579" w:rsidP="00813579">
      <w:r>
        <w:t xml:space="preserve">Table 7–1 shows average event-hour reference loads and estimated </w:t>
      </w:r>
      <w:r>
        <w:rPr>
          <w:i/>
        </w:rPr>
        <w:t>ex-post</w:t>
      </w:r>
      <w:r>
        <w:t xml:space="preserve"> load impacts for the typical CBP and AMP event (</w:t>
      </w:r>
      <w:r>
        <w:rPr>
          <w:i/>
        </w:rPr>
        <w:t>i.e</w:t>
      </w:r>
      <w:r>
        <w:t xml:space="preserve">., events in which aggregators in the full service area were called) in the current and two previous program years, by notice type. Also shown is the current study’s </w:t>
      </w:r>
      <w:r>
        <w:rPr>
          <w:i/>
        </w:rPr>
        <w:t>ex-ante</w:t>
      </w:r>
      <w:r>
        <w:t xml:space="preserve"> forecast for 201</w:t>
      </w:r>
      <w:r w:rsidR="00782932">
        <w:t>5</w:t>
      </w:r>
      <w:r w:rsidR="00337658">
        <w:t>, for an August peak day at utility-peak 1-in-2 weather conditions</w:t>
      </w:r>
      <w:r>
        <w:t xml:space="preserve">. </w:t>
      </w:r>
    </w:p>
    <w:p w:rsidR="00813579" w:rsidRDefault="00813579" w:rsidP="00813579"/>
    <w:p w:rsidR="00954DAF" w:rsidRDefault="00813579" w:rsidP="00954DAF">
      <w:r>
        <w:t xml:space="preserve">The </w:t>
      </w:r>
      <w:r w:rsidR="00AC4D4F">
        <w:t>program-level</w:t>
      </w:r>
      <w:r>
        <w:t xml:space="preserve"> </w:t>
      </w:r>
      <w:r>
        <w:rPr>
          <w:i/>
        </w:rPr>
        <w:t>ex-post</w:t>
      </w:r>
      <w:r>
        <w:t xml:space="preserve"> load impacts are generally quite similar across years, though with some exceptions. In particular, CBP DA customer nominations and aggregate load impacts were greatest in 2012, and then declined substantially in 201</w:t>
      </w:r>
      <w:r w:rsidR="00782932">
        <w:t>3</w:t>
      </w:r>
      <w:r>
        <w:t xml:space="preserve">. CBP DO load impacts also peaked in 2012, </w:t>
      </w:r>
      <w:r w:rsidR="00AC4D4F">
        <w:t xml:space="preserve">and then declined in the next two years. Over that time, </w:t>
      </w:r>
      <w:r>
        <w:t>the number of customers nominated grew</w:t>
      </w:r>
      <w:r w:rsidR="00AC4D4F">
        <w:t>;</w:t>
      </w:r>
      <w:r>
        <w:t xml:space="preserve"> </w:t>
      </w:r>
      <w:r w:rsidR="00AC4D4F">
        <w:t xml:space="preserve">however, per-customer reference loads, as well as per-customer load impacts and percent load impacts, declined, indicating the addition of smaller and less responsive customers. </w:t>
      </w:r>
      <w:r w:rsidR="0056639A">
        <w:t>Looking forward, t</w:t>
      </w:r>
      <w:r>
        <w:t xml:space="preserve">he forecasts </w:t>
      </w:r>
      <w:r w:rsidR="00337658">
        <w:t>of nominat</w:t>
      </w:r>
      <w:r w:rsidR="00E146A7">
        <w:t>ed service accounts</w:t>
      </w:r>
      <w:r w:rsidR="00337658">
        <w:t xml:space="preserve"> </w:t>
      </w:r>
      <w:r>
        <w:t xml:space="preserve">and </w:t>
      </w:r>
      <w:r w:rsidRPr="00337658">
        <w:rPr>
          <w:i/>
        </w:rPr>
        <w:t>ex-ante</w:t>
      </w:r>
      <w:r>
        <w:t xml:space="preserve"> load impacts for CBP for 201</w:t>
      </w:r>
      <w:r w:rsidR="00782932">
        <w:t>5</w:t>
      </w:r>
      <w:r>
        <w:t xml:space="preserve"> are </w:t>
      </w:r>
      <w:r w:rsidR="00954DAF">
        <w:t xml:space="preserve">comparable to the </w:t>
      </w:r>
      <w:r w:rsidR="00E146A7" w:rsidRPr="00E146A7">
        <w:rPr>
          <w:i/>
        </w:rPr>
        <w:t>ex-post</w:t>
      </w:r>
      <w:r w:rsidR="00E146A7">
        <w:t xml:space="preserve"> </w:t>
      </w:r>
      <w:r w:rsidR="00954DAF">
        <w:t xml:space="preserve">values in PY 2014. </w:t>
      </w:r>
    </w:p>
    <w:p w:rsidR="00813579" w:rsidRDefault="00813579" w:rsidP="00813579"/>
    <w:p w:rsidR="00813579" w:rsidRDefault="00813579" w:rsidP="00813579"/>
    <w:p w:rsidR="008A26E8" w:rsidRDefault="00E146A7" w:rsidP="00813579">
      <w:r>
        <w:lastRenderedPageBreak/>
        <w:t>N</w:t>
      </w:r>
      <w:r w:rsidR="00813579">
        <w:t>ominat</w:t>
      </w:r>
      <w:r>
        <w:t>ed service accounts</w:t>
      </w:r>
      <w:r w:rsidR="00813579">
        <w:t xml:space="preserve"> </w:t>
      </w:r>
      <w:r w:rsidR="0056639A">
        <w:t xml:space="preserve">for AMP DA and DO have grown over the three years, though the per-customer reference loads indicate that average customer size has fallen somewhat. Per-customer </w:t>
      </w:r>
      <w:r w:rsidR="00813579">
        <w:t xml:space="preserve">load impacts </w:t>
      </w:r>
      <w:r w:rsidR="0056639A">
        <w:t xml:space="preserve">and percentage load impacts </w:t>
      </w:r>
      <w:r w:rsidR="00337658">
        <w:t xml:space="preserve">have </w:t>
      </w:r>
      <w:r w:rsidR="0056639A">
        <w:t>also fallen (particularly for DA), producing the general decline in program-level load impacts (with the exception of the DO product in 2013)</w:t>
      </w:r>
      <w:r w:rsidR="00813579">
        <w:t xml:space="preserve">. </w:t>
      </w:r>
      <w:r w:rsidR="008A26E8">
        <w:t xml:space="preserve">In an attempt to explain the relatively large difference between the aggregate load impacts in 2013 and 2014 for AMP DO, we analyzed customer-level load impact data for customers that were nominated in both years. That analysis reveals that the same 54 </w:t>
      </w:r>
      <w:r w:rsidR="00595F10">
        <w:t>service accounts</w:t>
      </w:r>
      <w:r w:rsidR="008A26E8">
        <w:t xml:space="preserve"> that produced the largest load impacts in 2013 (approximately 450 kW per customer, and 76.7 MW in total), accounted for only 46.8 MW of load reductions in 2014. The difference of approximately 30 MW accounts for essentially all of the difference between the aggregate load impacts in the two years. </w:t>
      </w:r>
    </w:p>
    <w:p w:rsidR="008A26E8" w:rsidRDefault="008A26E8" w:rsidP="00813579"/>
    <w:p w:rsidR="00813579" w:rsidRDefault="00E146A7" w:rsidP="00813579">
      <w:r>
        <w:t>Nominated service accounts</w:t>
      </w:r>
      <w:r w:rsidR="00954DAF">
        <w:t xml:space="preserve"> and aggregate load impacts are projected to increase modestly from 2014 for the DO option (no DA contracts are anticipated). As discussed in the next sub-section, PG&amp;E bases its </w:t>
      </w:r>
      <w:r w:rsidR="00954DAF" w:rsidRPr="00954DAF">
        <w:rPr>
          <w:i/>
        </w:rPr>
        <w:t>ex-ante</w:t>
      </w:r>
      <w:r w:rsidR="00954DAF">
        <w:t xml:space="preserve"> load impact estimates and enrollment forecast for AMP largely on the contract commitments and per-customer load impacts.</w:t>
      </w:r>
    </w:p>
    <w:p w:rsidR="00813579" w:rsidRDefault="00813579" w:rsidP="00813579">
      <w:pPr>
        <w:rPr>
          <w:highlight w:val="yellow"/>
        </w:rPr>
      </w:pPr>
    </w:p>
    <w:p w:rsidR="00813579" w:rsidRDefault="00813579" w:rsidP="00924E79">
      <w:pPr>
        <w:keepNext/>
        <w:keepLines/>
        <w:spacing w:after="120"/>
        <w:jc w:val="center"/>
        <w:rPr>
          <w:b/>
        </w:rPr>
      </w:pPr>
      <w:bookmarkStart w:id="268" w:name="_Toc382565947"/>
      <w:bookmarkStart w:id="269" w:name="_Toc414545923"/>
      <w:r>
        <w:rPr>
          <w:rStyle w:val="TableCaptionChar"/>
        </w:rPr>
        <w:t xml:space="preserve">Table 7–1: </w:t>
      </w:r>
      <w:r>
        <w:rPr>
          <w:rStyle w:val="TableCaptionChar"/>
          <w:i/>
        </w:rPr>
        <w:t>Ex-Post</w:t>
      </w:r>
      <w:r>
        <w:rPr>
          <w:rStyle w:val="TableCaptionChar"/>
        </w:rPr>
        <w:t xml:space="preserve"> Results for 201</w:t>
      </w:r>
      <w:r w:rsidR="00337658">
        <w:rPr>
          <w:rStyle w:val="TableCaptionChar"/>
        </w:rPr>
        <w:t>2</w:t>
      </w:r>
      <w:r>
        <w:rPr>
          <w:rStyle w:val="TableCaptionChar"/>
        </w:rPr>
        <w:t xml:space="preserve"> through 2014, and </w:t>
      </w:r>
      <w:r>
        <w:rPr>
          <w:rStyle w:val="TableCaptionChar"/>
          <w:i/>
        </w:rPr>
        <w:t>Ex-Ante</w:t>
      </w:r>
      <w:r>
        <w:rPr>
          <w:rStyle w:val="TableCaptionChar"/>
        </w:rPr>
        <w:t xml:space="preserve"> for 201</w:t>
      </w:r>
      <w:r w:rsidR="00337658">
        <w:rPr>
          <w:rStyle w:val="TableCaptionChar"/>
        </w:rPr>
        <w:t>5</w:t>
      </w:r>
      <w:r>
        <w:rPr>
          <w:rStyle w:val="TableCaptionChar"/>
        </w:rPr>
        <w:t xml:space="preserve"> – </w:t>
      </w:r>
      <w:r>
        <w:rPr>
          <w:rStyle w:val="TableCaptionChar"/>
        </w:rPr>
        <w:br/>
      </w:r>
      <w:r>
        <w:rPr>
          <w:rStyle w:val="TableCaptionChar"/>
          <w:i/>
        </w:rPr>
        <w:t>PG&amp;E CBP and AM</w:t>
      </w:r>
      <w:bookmarkEnd w:id="268"/>
      <w:bookmarkEnd w:id="269"/>
      <w:r>
        <w:rPr>
          <w:b/>
          <w:i/>
          <w:sz w:val="22"/>
          <w:szCs w:val="22"/>
        </w:rPr>
        <w:t>P</w:t>
      </w:r>
    </w:p>
    <w:p w:rsidR="00813579" w:rsidRDefault="0061514C" w:rsidP="00813579">
      <w:pPr>
        <w:jc w:val="center"/>
      </w:pPr>
      <w:r w:rsidRPr="0061514C">
        <w:rPr>
          <w:noProof/>
        </w:rPr>
        <w:drawing>
          <wp:inline distT="0" distB="0" distL="0" distR="0">
            <wp:extent cx="5257800" cy="3535680"/>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257800" cy="3535680"/>
                    </a:xfrm>
                    <a:prstGeom prst="rect">
                      <a:avLst/>
                    </a:prstGeom>
                    <a:noFill/>
                    <a:ln>
                      <a:noFill/>
                    </a:ln>
                  </pic:spPr>
                </pic:pic>
              </a:graphicData>
            </a:graphic>
          </wp:inline>
        </w:drawing>
      </w:r>
    </w:p>
    <w:p w:rsidR="00813579" w:rsidRDefault="00813579" w:rsidP="00813579"/>
    <w:p w:rsidR="00813579" w:rsidRDefault="00813579" w:rsidP="00813579">
      <w:pPr>
        <w:pStyle w:val="Heading3"/>
      </w:pPr>
      <w:bookmarkStart w:id="270" w:name="_Toc382566032"/>
      <w:bookmarkStart w:id="271" w:name="_Toc415231802"/>
      <w:r>
        <w:lastRenderedPageBreak/>
        <w:t xml:space="preserve">7.2.2 Previous versus current </w:t>
      </w:r>
      <w:r>
        <w:rPr>
          <w:i w:val="0"/>
        </w:rPr>
        <w:t>ex-ante</w:t>
      </w:r>
      <w:bookmarkEnd w:id="270"/>
      <w:bookmarkEnd w:id="271"/>
    </w:p>
    <w:p w:rsidR="00813579" w:rsidRDefault="00813579" w:rsidP="00813579">
      <w:r>
        <w:t xml:space="preserve">In this sub-section, we compare the </w:t>
      </w:r>
      <w:r>
        <w:rPr>
          <w:i/>
        </w:rPr>
        <w:t>ex-ante</w:t>
      </w:r>
      <w:r>
        <w:t xml:space="preserve"> load impact forecasts for 2015 that were produced in the current (2014) and previous (201</w:t>
      </w:r>
      <w:r w:rsidR="00337658">
        <w:t>3</w:t>
      </w:r>
      <w:r>
        <w:t xml:space="preserve">) studies. Table 7–2 shows forecast customer nominations, reference loads and load impacts for the 2015 August 1-in-2 </w:t>
      </w:r>
      <w:r w:rsidR="00337658">
        <w:t>utility-</w:t>
      </w:r>
      <w:r>
        <w:t xml:space="preserve">peak day from the two studies. </w:t>
      </w:r>
    </w:p>
    <w:p w:rsidR="00813579" w:rsidRDefault="00813579" w:rsidP="00813579"/>
    <w:p w:rsidR="007C2BDA" w:rsidRDefault="007C2BDA" w:rsidP="007C2BDA">
      <w:r>
        <w:t xml:space="preserve">As noted above, the projected load impacts for CBP in 2015 generally reflect the observed </w:t>
      </w:r>
      <w:r>
        <w:rPr>
          <w:i/>
        </w:rPr>
        <w:t>ex-post</w:t>
      </w:r>
      <w:r>
        <w:t xml:space="preserve"> results in the current year, though they differ somewhat from the forecasts made in 2013. For AMP, PG&amp;E’s enrollment forecast and </w:t>
      </w:r>
      <w:r w:rsidRPr="007C2BDA">
        <w:rPr>
          <w:i/>
        </w:rPr>
        <w:t>ex-ante</w:t>
      </w:r>
      <w:r>
        <w:t xml:space="preserve"> load impact estimates are generally based on the aggregators’ nominated capacity, adjusted by past performance. Anticipated aggregate load impacts for 2015 are somewhat lower for CBP DA and AMP DO from the projections from the previous year. </w:t>
      </w:r>
    </w:p>
    <w:p w:rsidR="007C2BDA" w:rsidRDefault="007C2BDA" w:rsidP="007C2BDA"/>
    <w:p w:rsidR="00813579" w:rsidRDefault="007C2BDA" w:rsidP="007C2BDA">
      <w:r>
        <w:t>PG&amp;E obtains the enrollment forecast for AMP by dividing the forecasted contractual MW by the anticipated per-customer load impact. Contractual load reduction capacity has been reduced from the anticipated level in the previous study. Customer size, per-customer load impacts, and percentage load impacts are expected to be smaller than in the 2013 forecast based on what is observed in 2014.</w:t>
      </w:r>
    </w:p>
    <w:p w:rsidR="007C2BDA" w:rsidRDefault="007C2BDA" w:rsidP="007C2BDA"/>
    <w:p w:rsidR="00813579" w:rsidRDefault="00813579" w:rsidP="00813579">
      <w:pPr>
        <w:pStyle w:val="TableCaption"/>
      </w:pPr>
      <w:bookmarkStart w:id="272" w:name="_Toc382565948"/>
      <w:bookmarkStart w:id="273" w:name="_Toc414545924"/>
      <w:r>
        <w:t xml:space="preserve">Table 7–2: </w:t>
      </w:r>
      <w:r>
        <w:rPr>
          <w:i/>
        </w:rPr>
        <w:t>Ex-Ante</w:t>
      </w:r>
      <w:r>
        <w:t xml:space="preserve"> Load Impacts for 2015 from PY 201</w:t>
      </w:r>
      <w:r w:rsidR="00924E79">
        <w:t>3</w:t>
      </w:r>
      <w:r>
        <w:t xml:space="preserve"> and PY 2014 Studies, </w:t>
      </w:r>
      <w:r>
        <w:rPr>
          <w:i/>
        </w:rPr>
        <w:t>PG&amp;E</w:t>
      </w:r>
      <w:bookmarkEnd w:id="272"/>
      <w:bookmarkEnd w:id="273"/>
    </w:p>
    <w:p w:rsidR="00813579" w:rsidRDefault="00E146A7" w:rsidP="00813579">
      <w:pPr>
        <w:jc w:val="center"/>
      </w:pPr>
      <w:r w:rsidRPr="00E146A7">
        <w:rPr>
          <w:noProof/>
        </w:rPr>
        <w:drawing>
          <wp:inline distT="0" distB="0" distL="0" distR="0">
            <wp:extent cx="4884420" cy="19507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884420" cy="1950720"/>
                    </a:xfrm>
                    <a:prstGeom prst="rect">
                      <a:avLst/>
                    </a:prstGeom>
                    <a:noFill/>
                    <a:ln>
                      <a:noFill/>
                    </a:ln>
                  </pic:spPr>
                </pic:pic>
              </a:graphicData>
            </a:graphic>
          </wp:inline>
        </w:drawing>
      </w:r>
    </w:p>
    <w:p w:rsidR="00813579" w:rsidRDefault="00813579" w:rsidP="00813579">
      <w:pPr>
        <w:pStyle w:val="Heading3"/>
      </w:pPr>
      <w:bookmarkStart w:id="274" w:name="_Toc382566033"/>
      <w:bookmarkStart w:id="275" w:name="_Toc415231803"/>
      <w:r>
        <w:t>7.2.3 Current ex-post compared to previous ex-ante</w:t>
      </w:r>
      <w:bookmarkEnd w:id="274"/>
      <w:bookmarkEnd w:id="275"/>
    </w:p>
    <w:p w:rsidR="00813579" w:rsidRDefault="00813579" w:rsidP="00813579">
      <w:r>
        <w:t xml:space="preserve">In this sub-section, we compare estimated </w:t>
      </w:r>
      <w:r>
        <w:rPr>
          <w:i/>
        </w:rPr>
        <w:t>ex-post</w:t>
      </w:r>
      <w:r>
        <w:t xml:space="preserve"> load impacts for 2014 to the </w:t>
      </w:r>
      <w:r>
        <w:rPr>
          <w:i/>
        </w:rPr>
        <w:t>ex-ante</w:t>
      </w:r>
      <w:r>
        <w:t xml:space="preserve"> forecasts for a 1-in-2 August peak day in 2014 </w:t>
      </w:r>
      <w:r w:rsidR="00F103EF">
        <w:t xml:space="preserve">that were </w:t>
      </w:r>
      <w:r>
        <w:t>developed in the PY201</w:t>
      </w:r>
      <w:r w:rsidR="00296D3A">
        <w:t>3</w:t>
      </w:r>
      <w:r>
        <w:t xml:space="preserve"> study. </w:t>
      </w:r>
      <w:r w:rsidR="00F103EF">
        <w:t xml:space="preserve">These are shown in Table 7.3. </w:t>
      </w:r>
      <w:r w:rsidR="00EE00AA">
        <w:t>The number of nominated service accounts</w:t>
      </w:r>
      <w:r>
        <w:t xml:space="preserve"> observed in 2014 were </w:t>
      </w:r>
      <w:r w:rsidR="00F103EF">
        <w:t xml:space="preserve">generally </w:t>
      </w:r>
      <w:r>
        <w:t xml:space="preserve">somewhat </w:t>
      </w:r>
      <w:r w:rsidR="00F103EF">
        <w:t xml:space="preserve">greater </w:t>
      </w:r>
      <w:r>
        <w:t>than those anticipated in the forecasts from the 201</w:t>
      </w:r>
      <w:r w:rsidR="00296D3A">
        <w:t>3</w:t>
      </w:r>
      <w:r>
        <w:t xml:space="preserve"> study. For the largest program/notice type, AMP DO, percentage load impacts </w:t>
      </w:r>
      <w:r w:rsidR="00F103EF">
        <w:t xml:space="preserve">and </w:t>
      </w:r>
      <w:r>
        <w:t xml:space="preserve">aggregate load impacts </w:t>
      </w:r>
      <w:r w:rsidR="002A25AE">
        <w:t xml:space="preserve">in the current </w:t>
      </w:r>
      <w:r w:rsidR="002A25AE" w:rsidRPr="002A25AE">
        <w:rPr>
          <w:i/>
        </w:rPr>
        <w:t>ex-post</w:t>
      </w:r>
      <w:r w:rsidR="002A25AE">
        <w:t xml:space="preserve"> study </w:t>
      </w:r>
      <w:r w:rsidR="00F103EF">
        <w:t xml:space="preserve">were </w:t>
      </w:r>
      <w:r>
        <w:t>lower than forecast</w:t>
      </w:r>
      <w:r w:rsidR="002A25AE">
        <w:t xml:space="preserve"> in the previous study</w:t>
      </w:r>
      <w:r>
        <w:t xml:space="preserve">. </w:t>
      </w:r>
      <w:r w:rsidR="00F103EF">
        <w:t>Aggregate load impacts f</w:t>
      </w:r>
      <w:r>
        <w:t xml:space="preserve">or CBP DO were </w:t>
      </w:r>
      <w:r w:rsidR="00F103EF">
        <w:t>3 MW</w:t>
      </w:r>
      <w:r>
        <w:t xml:space="preserve"> less than forecast, </w:t>
      </w:r>
      <w:r w:rsidR="00F103EF">
        <w:t xml:space="preserve">which is consistent with smaller per-customer reference loads and load impacts than forecast. </w:t>
      </w:r>
      <w:r w:rsidR="00F103EF" w:rsidRPr="00F103EF">
        <w:rPr>
          <w:i/>
        </w:rPr>
        <w:t>Ex-post</w:t>
      </w:r>
      <w:r w:rsidR="00F103EF">
        <w:t xml:space="preserve"> load impacts for AMP DA were close to the forecast. However, no DA contracts are anticipated in 2015</w:t>
      </w:r>
      <w:r>
        <w:t xml:space="preserve">. </w:t>
      </w:r>
    </w:p>
    <w:p w:rsidR="00813579" w:rsidRDefault="00813579" w:rsidP="00813579"/>
    <w:p w:rsidR="00813579" w:rsidRDefault="00813579" w:rsidP="00813579">
      <w:pPr>
        <w:pStyle w:val="TableCaption"/>
      </w:pPr>
      <w:bookmarkStart w:id="276" w:name="_Toc382565949"/>
      <w:bookmarkStart w:id="277" w:name="_Toc414545925"/>
      <w:r>
        <w:lastRenderedPageBreak/>
        <w:t xml:space="preserve">Table 7–3: Current </w:t>
      </w:r>
      <w:r>
        <w:rPr>
          <w:i/>
        </w:rPr>
        <w:t>Ex-Post</w:t>
      </w:r>
      <w:r>
        <w:t xml:space="preserve"> and Previous </w:t>
      </w:r>
      <w:r>
        <w:rPr>
          <w:i/>
        </w:rPr>
        <w:t>Ex-Ante</w:t>
      </w:r>
      <w:r>
        <w:t xml:space="preserve"> Load Impacts for 2014, </w:t>
      </w:r>
      <w:r>
        <w:rPr>
          <w:i/>
        </w:rPr>
        <w:t>PG&amp;E</w:t>
      </w:r>
      <w:bookmarkEnd w:id="276"/>
      <w:bookmarkEnd w:id="277"/>
    </w:p>
    <w:p w:rsidR="00813579" w:rsidRDefault="00EE00AA" w:rsidP="00813579">
      <w:pPr>
        <w:jc w:val="center"/>
      </w:pPr>
      <w:r w:rsidRPr="00EE00AA">
        <w:rPr>
          <w:noProof/>
        </w:rPr>
        <w:drawing>
          <wp:inline distT="0" distB="0" distL="0" distR="0">
            <wp:extent cx="4884420" cy="20193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884420" cy="2019300"/>
                    </a:xfrm>
                    <a:prstGeom prst="rect">
                      <a:avLst/>
                    </a:prstGeom>
                    <a:noFill/>
                    <a:ln>
                      <a:noFill/>
                    </a:ln>
                  </pic:spPr>
                </pic:pic>
              </a:graphicData>
            </a:graphic>
          </wp:inline>
        </w:drawing>
      </w:r>
    </w:p>
    <w:p w:rsidR="00813579" w:rsidRDefault="00813579" w:rsidP="00813579">
      <w:pPr>
        <w:rPr>
          <w:highlight w:val="yellow"/>
        </w:rPr>
      </w:pPr>
    </w:p>
    <w:p w:rsidR="00813579" w:rsidRDefault="00813579" w:rsidP="00813579">
      <w:pPr>
        <w:pStyle w:val="Heading2"/>
      </w:pPr>
      <w:bookmarkStart w:id="278" w:name="_Toc382566034"/>
      <w:bookmarkStart w:id="279" w:name="_Toc415231804"/>
      <w:r w:rsidRPr="00FB366B">
        <w:t>7.3 SCE CBP and AMP</w:t>
      </w:r>
      <w:bookmarkEnd w:id="278"/>
      <w:bookmarkEnd w:id="279"/>
    </w:p>
    <w:p w:rsidR="00813579" w:rsidRDefault="00813579" w:rsidP="00813579">
      <w:pPr>
        <w:pStyle w:val="Heading3"/>
      </w:pPr>
      <w:bookmarkStart w:id="280" w:name="_Toc382566035"/>
      <w:bookmarkStart w:id="281" w:name="_Toc415231805"/>
      <w:r>
        <w:t>7.3.1 Previous and current ex-post, and forecast for 2014</w:t>
      </w:r>
      <w:bookmarkEnd w:id="280"/>
      <w:bookmarkEnd w:id="281"/>
    </w:p>
    <w:p w:rsidR="00813579" w:rsidRDefault="00813579" w:rsidP="00813579">
      <w:r>
        <w:t xml:space="preserve">The number of </w:t>
      </w:r>
      <w:r w:rsidR="00C66EB8">
        <w:t>service accounts</w:t>
      </w:r>
      <w:r>
        <w:t xml:space="preserve"> nominated and </w:t>
      </w:r>
      <w:r w:rsidR="00F87ED8">
        <w:t xml:space="preserve">the aggregate </w:t>
      </w:r>
      <w:r>
        <w:t>estimated load impacts for CBP DA have varied substantially over program years 201</w:t>
      </w:r>
      <w:r w:rsidR="00F87ED8">
        <w:t>2</w:t>
      </w:r>
      <w:r>
        <w:t xml:space="preserve"> through 2014</w:t>
      </w:r>
      <w:r w:rsidR="00F87ED8">
        <w:t xml:space="preserve">, </w:t>
      </w:r>
      <w:r w:rsidR="007B1C2F">
        <w:t>and increased</w:t>
      </w:r>
      <w:r w:rsidR="00F87ED8">
        <w:t xml:space="preserve"> substantially in </w:t>
      </w:r>
      <w:r>
        <w:t>2014</w:t>
      </w:r>
      <w:r w:rsidR="007B1C2F">
        <w:t xml:space="preserve"> </w:t>
      </w:r>
      <w:r>
        <w:t xml:space="preserve">as </w:t>
      </w:r>
      <w:r w:rsidR="007B1C2F">
        <w:t>a result of an</w:t>
      </w:r>
      <w:r>
        <w:t xml:space="preserve"> AMP DA aggregator mov</w:t>
      </w:r>
      <w:r w:rsidR="007B1C2F">
        <w:t>ing</w:t>
      </w:r>
      <w:r>
        <w:t xml:space="preserve"> its </w:t>
      </w:r>
      <w:r w:rsidR="00595F10">
        <w:t>service accounts</w:t>
      </w:r>
      <w:r>
        <w:t xml:space="preserve"> to CBP DA due to problems in meeting contract nominated capacity. </w:t>
      </w:r>
      <w:r w:rsidR="008A6200">
        <w:t xml:space="preserve">However, SCE has recently observed some transfers of nominated </w:t>
      </w:r>
      <w:r w:rsidR="00075250">
        <w:t>service accounts</w:t>
      </w:r>
      <w:r w:rsidR="008A6200">
        <w:t xml:space="preserve"> from CBP DA to DO in 2015 as a result of DA events called in the 2014/2015 winter period, and has thus lowered its forecast of CBP DA nominated </w:t>
      </w:r>
      <w:r w:rsidR="00075250">
        <w:t xml:space="preserve">service accounts </w:t>
      </w:r>
      <w:r w:rsidR="008A6200">
        <w:t>in 2015 and forward. Customer</w:t>
      </w:r>
      <w:r w:rsidR="00076A3A">
        <w:t xml:space="preserve"> </w:t>
      </w:r>
      <w:r w:rsidR="008A6200">
        <w:t>s</w:t>
      </w:r>
      <w:r w:rsidR="00076A3A">
        <w:t>ervice accounts</w:t>
      </w:r>
      <w:r w:rsidR="008A6200">
        <w:t xml:space="preserve"> nominated</w:t>
      </w:r>
      <w:r w:rsidR="00076A3A">
        <w:t>,</w:t>
      </w:r>
      <w:r w:rsidR="008A6200">
        <w:t xml:space="preserve"> and aggregate load impacts </w:t>
      </w:r>
      <w:r w:rsidR="007D5630">
        <w:t xml:space="preserve">for </w:t>
      </w:r>
      <w:r>
        <w:t xml:space="preserve">CBP DO remained fairly stable over </w:t>
      </w:r>
      <w:r w:rsidR="00F87ED8">
        <w:t xml:space="preserve">the </w:t>
      </w:r>
      <w:r>
        <w:t>years</w:t>
      </w:r>
      <w:r w:rsidR="00F87ED8">
        <w:t xml:space="preserve"> prior to 2014</w:t>
      </w:r>
      <w:r>
        <w:t>, but increase</w:t>
      </w:r>
      <w:r w:rsidR="00F87ED8">
        <w:t>d</w:t>
      </w:r>
      <w:r>
        <w:t xml:space="preserve"> substantially in 2014 due to a shift in </w:t>
      </w:r>
      <w:r w:rsidR="00595F10">
        <w:t>service accounts</w:t>
      </w:r>
      <w:r>
        <w:t xml:space="preserve"> from AMP DO. </w:t>
      </w:r>
      <w:r w:rsidR="00F87ED8">
        <w:t xml:space="preserve">Also as a result, </w:t>
      </w:r>
      <w:r w:rsidR="00075250">
        <w:t xml:space="preserve">service accounts </w:t>
      </w:r>
      <w:r>
        <w:t xml:space="preserve">nominated in AMP DO declined </w:t>
      </w:r>
      <w:r w:rsidR="00F87ED8">
        <w:t>substantially</w:t>
      </w:r>
      <w:r>
        <w:t xml:space="preserve"> in 2014</w:t>
      </w:r>
      <w:r w:rsidR="008A6200">
        <w:t xml:space="preserve">, </w:t>
      </w:r>
      <w:r w:rsidR="00075250">
        <w:t>though they</w:t>
      </w:r>
      <w:r w:rsidR="008A6200">
        <w:t xml:space="preserve"> are expected to rise by approximately 130 </w:t>
      </w:r>
      <w:r w:rsidR="00075250">
        <w:t xml:space="preserve">service </w:t>
      </w:r>
      <w:r w:rsidR="008A6200">
        <w:t>accounts in 2015</w:t>
      </w:r>
      <w:r>
        <w:t>. Percentage load impacts for AMP DO have been steady</w:t>
      </w:r>
      <w:r w:rsidR="00F87ED8">
        <w:t xml:space="preserve">. </w:t>
      </w:r>
      <w:r w:rsidR="00A774B7">
        <w:t>With the increase in n</w:t>
      </w:r>
      <w:r>
        <w:t>ominat</w:t>
      </w:r>
      <w:r w:rsidR="00F87ED8">
        <w:t xml:space="preserve">ed </w:t>
      </w:r>
      <w:r w:rsidR="00076A3A">
        <w:t xml:space="preserve">service accounts </w:t>
      </w:r>
      <w:r w:rsidR="00F87ED8">
        <w:t>for 2015</w:t>
      </w:r>
      <w:r w:rsidR="00A774B7">
        <w:t>,</w:t>
      </w:r>
      <w:r w:rsidR="00F87ED8">
        <w:t xml:space="preserve"> </w:t>
      </w:r>
      <w:r>
        <w:t>aggregate load impacts</w:t>
      </w:r>
      <w:r w:rsidR="00F87ED8">
        <w:t xml:space="preserve"> </w:t>
      </w:r>
      <w:r w:rsidR="00A774B7">
        <w:t xml:space="preserve">are anticipated to rise </w:t>
      </w:r>
      <w:r w:rsidR="00F87ED8">
        <w:t xml:space="preserve">from about </w:t>
      </w:r>
      <w:r w:rsidR="00075250">
        <w:t>9</w:t>
      </w:r>
      <w:r w:rsidR="00F87ED8">
        <w:t xml:space="preserve">0 MW </w:t>
      </w:r>
      <w:r w:rsidR="00075250">
        <w:t xml:space="preserve">in 2014 </w:t>
      </w:r>
      <w:r w:rsidR="00F87ED8">
        <w:t>to 9</w:t>
      </w:r>
      <w:r w:rsidR="00075250">
        <w:t>3</w:t>
      </w:r>
      <w:r w:rsidR="00F87ED8">
        <w:t>.</w:t>
      </w:r>
      <w:r w:rsidR="00075250">
        <w:t>5</w:t>
      </w:r>
      <w:r w:rsidR="00F87ED8">
        <w:t xml:space="preserve"> MW</w:t>
      </w:r>
      <w:r w:rsidR="00075250">
        <w:t xml:space="preserve"> in 2015</w:t>
      </w:r>
      <w:r>
        <w:t>.</w:t>
      </w:r>
    </w:p>
    <w:p w:rsidR="00813579" w:rsidRDefault="00813579" w:rsidP="00813579">
      <w:pPr>
        <w:pStyle w:val="TableCaption"/>
      </w:pPr>
    </w:p>
    <w:p w:rsidR="00813579" w:rsidRDefault="00813579" w:rsidP="00813579">
      <w:pPr>
        <w:pStyle w:val="TableCaption"/>
      </w:pPr>
      <w:bookmarkStart w:id="282" w:name="_Toc382565950"/>
      <w:bookmarkStart w:id="283" w:name="_Toc414545926"/>
      <w:r>
        <w:t xml:space="preserve">Table 7–4: </w:t>
      </w:r>
      <w:r>
        <w:rPr>
          <w:i/>
        </w:rPr>
        <w:t>Ex-Post</w:t>
      </w:r>
      <w:r>
        <w:t xml:space="preserve"> Results for 201</w:t>
      </w:r>
      <w:r w:rsidR="00601602">
        <w:t>2</w:t>
      </w:r>
      <w:r>
        <w:t xml:space="preserve"> through 2014, and </w:t>
      </w:r>
      <w:r>
        <w:rPr>
          <w:i/>
        </w:rPr>
        <w:t>Ex-Ante</w:t>
      </w:r>
      <w:r>
        <w:t xml:space="preserve"> for 201</w:t>
      </w:r>
      <w:r w:rsidR="00601602">
        <w:t>5</w:t>
      </w:r>
      <w:r>
        <w:t xml:space="preserve"> – </w:t>
      </w:r>
      <w:r>
        <w:br/>
      </w:r>
      <w:r>
        <w:rPr>
          <w:i/>
        </w:rPr>
        <w:t>SCE CBP and AM</w:t>
      </w:r>
      <w:r>
        <w:rPr>
          <w:i/>
          <w:szCs w:val="22"/>
        </w:rPr>
        <w:t>P</w:t>
      </w:r>
      <w:bookmarkEnd w:id="282"/>
      <w:bookmarkEnd w:id="283"/>
    </w:p>
    <w:p w:rsidR="00813579" w:rsidRDefault="00C66EB8" w:rsidP="00813579">
      <w:pPr>
        <w:jc w:val="center"/>
      </w:pPr>
      <w:r w:rsidRPr="00C66EB8">
        <w:rPr>
          <w:noProof/>
        </w:rPr>
        <w:drawing>
          <wp:inline distT="0" distB="0" distL="0" distR="0">
            <wp:extent cx="5372100" cy="3710940"/>
            <wp:effectExtent l="0" t="0" r="0" b="381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372100" cy="3710940"/>
                    </a:xfrm>
                    <a:prstGeom prst="rect">
                      <a:avLst/>
                    </a:prstGeom>
                    <a:noFill/>
                    <a:ln>
                      <a:noFill/>
                    </a:ln>
                  </pic:spPr>
                </pic:pic>
              </a:graphicData>
            </a:graphic>
          </wp:inline>
        </w:drawing>
      </w:r>
    </w:p>
    <w:p w:rsidR="00813579" w:rsidRDefault="00813579" w:rsidP="00813579"/>
    <w:p w:rsidR="00813579" w:rsidRDefault="00813579" w:rsidP="00813579">
      <w:pPr>
        <w:pStyle w:val="Heading3"/>
      </w:pPr>
      <w:bookmarkStart w:id="284" w:name="_Toc382566036"/>
      <w:bookmarkStart w:id="285" w:name="_Toc415231806"/>
      <w:r>
        <w:t xml:space="preserve">7.3.2 Previous versus current </w:t>
      </w:r>
      <w:r>
        <w:rPr>
          <w:i w:val="0"/>
        </w:rPr>
        <w:t>ex-ante</w:t>
      </w:r>
      <w:bookmarkEnd w:id="284"/>
      <w:bookmarkEnd w:id="285"/>
    </w:p>
    <w:p w:rsidR="00813579" w:rsidRDefault="00813579" w:rsidP="00813579">
      <w:r>
        <w:t xml:space="preserve">Table 7–5 shows </w:t>
      </w:r>
      <w:r>
        <w:rPr>
          <w:i/>
        </w:rPr>
        <w:t>ex-ante</w:t>
      </w:r>
      <w:r>
        <w:t xml:space="preserve"> forecasts for 2015 for a </w:t>
      </w:r>
      <w:r w:rsidR="00F87ED8">
        <w:t xml:space="preserve">utility-peak </w:t>
      </w:r>
      <w:r>
        <w:t xml:space="preserve">1-in-2 August </w:t>
      </w:r>
      <w:r w:rsidR="007B1C2F">
        <w:t xml:space="preserve">monthly </w:t>
      </w:r>
      <w:r>
        <w:t>peak day</w:t>
      </w:r>
      <w:r w:rsidR="007B1C2F">
        <w:t>, as</w:t>
      </w:r>
      <w:r>
        <w:t xml:space="preserve"> produced in the </w:t>
      </w:r>
      <w:r w:rsidR="00F87ED8">
        <w:t xml:space="preserve">current </w:t>
      </w:r>
      <w:r w:rsidR="007B1C2F">
        <w:t xml:space="preserve">(PY2014) </w:t>
      </w:r>
      <w:r w:rsidR="00F87ED8">
        <w:t xml:space="preserve">and the </w:t>
      </w:r>
      <w:r>
        <w:t>PY201</w:t>
      </w:r>
      <w:r w:rsidR="00F87ED8">
        <w:t>3</w:t>
      </w:r>
      <w:r>
        <w:t xml:space="preserve"> evaluations. The table </w:t>
      </w:r>
      <w:r w:rsidR="00F87ED8">
        <w:t xml:space="preserve">reflects </w:t>
      </w:r>
      <w:r>
        <w:t xml:space="preserve">anticipated movement of </w:t>
      </w:r>
      <w:r w:rsidR="00F87ED8">
        <w:t xml:space="preserve">some CBP DA </w:t>
      </w:r>
      <w:r w:rsidR="00595F10">
        <w:t>service accounts</w:t>
      </w:r>
      <w:r>
        <w:t xml:space="preserve"> </w:t>
      </w:r>
      <w:r w:rsidR="00F87ED8">
        <w:t>to the DO product</w:t>
      </w:r>
      <w:r w:rsidR="005C4A61">
        <w:t>, as described above</w:t>
      </w:r>
      <w:r>
        <w:t xml:space="preserve">. </w:t>
      </w:r>
    </w:p>
    <w:p w:rsidR="00813579" w:rsidRDefault="00813579" w:rsidP="00813579"/>
    <w:p w:rsidR="00813579" w:rsidRDefault="00813579" w:rsidP="00813579">
      <w:pPr>
        <w:pStyle w:val="TableCaption"/>
      </w:pPr>
      <w:bookmarkStart w:id="286" w:name="_Toc382565951"/>
      <w:bookmarkStart w:id="287" w:name="_Toc414545927"/>
      <w:r>
        <w:t xml:space="preserve">Table 7–5: </w:t>
      </w:r>
      <w:r>
        <w:rPr>
          <w:i/>
        </w:rPr>
        <w:t>Ex-Ante</w:t>
      </w:r>
      <w:r>
        <w:t xml:space="preserve"> Forecasts for 2015 from PY 201</w:t>
      </w:r>
      <w:r w:rsidR="00601602">
        <w:t>3</w:t>
      </w:r>
      <w:r>
        <w:t xml:space="preserve"> and PY 2014 Studies, </w:t>
      </w:r>
      <w:r>
        <w:rPr>
          <w:i/>
        </w:rPr>
        <w:t>SCE</w:t>
      </w:r>
      <w:bookmarkEnd w:id="286"/>
      <w:bookmarkEnd w:id="287"/>
    </w:p>
    <w:p w:rsidR="00813579" w:rsidRDefault="00C66EB8" w:rsidP="00813579">
      <w:pPr>
        <w:jc w:val="center"/>
      </w:pPr>
      <w:r w:rsidRPr="00C66EB8">
        <w:rPr>
          <w:noProof/>
        </w:rPr>
        <w:drawing>
          <wp:inline distT="0" distB="0" distL="0" distR="0">
            <wp:extent cx="4884420" cy="195072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884420" cy="1950720"/>
                    </a:xfrm>
                    <a:prstGeom prst="rect">
                      <a:avLst/>
                    </a:prstGeom>
                    <a:noFill/>
                    <a:ln>
                      <a:noFill/>
                    </a:ln>
                  </pic:spPr>
                </pic:pic>
              </a:graphicData>
            </a:graphic>
          </wp:inline>
        </w:drawing>
      </w:r>
    </w:p>
    <w:p w:rsidR="00813579" w:rsidRDefault="00813579" w:rsidP="00813579">
      <w:pPr>
        <w:pStyle w:val="Heading3"/>
      </w:pPr>
      <w:bookmarkStart w:id="288" w:name="_Toc382566037"/>
      <w:bookmarkStart w:id="289" w:name="_Toc415231807"/>
      <w:r w:rsidRPr="00FB366B">
        <w:lastRenderedPageBreak/>
        <w:t>7.3.3 Current ex-post compared to previous ex-ante</w:t>
      </w:r>
      <w:bookmarkEnd w:id="288"/>
      <w:bookmarkEnd w:id="289"/>
    </w:p>
    <w:p w:rsidR="00813579" w:rsidRDefault="00813579" w:rsidP="00813579">
      <w:r>
        <w:t xml:space="preserve">Table 7–6 shows two sets of values for 2014 – the line labeled “Forecast” represents the </w:t>
      </w:r>
      <w:r w:rsidRPr="00A57B67">
        <w:rPr>
          <w:i/>
        </w:rPr>
        <w:t>ex-ante</w:t>
      </w:r>
      <w:r>
        <w:t xml:space="preserve"> forecast for 2014 for a </w:t>
      </w:r>
      <w:r w:rsidR="005C4A61">
        <w:t xml:space="preserve">utility-peak </w:t>
      </w:r>
      <w:r>
        <w:t xml:space="preserve">1-in-2 August peak day, </w:t>
      </w:r>
      <w:r w:rsidR="005C4A61">
        <w:t xml:space="preserve">that was </w:t>
      </w:r>
      <w:r>
        <w:t>produced in the PY201</w:t>
      </w:r>
      <w:r w:rsidR="005C4A61">
        <w:t>3</w:t>
      </w:r>
      <w:r>
        <w:t xml:space="preserve"> evaluation. The line labeled “Ex-Post” represents the </w:t>
      </w:r>
      <w:r w:rsidRPr="00075250">
        <w:rPr>
          <w:i/>
        </w:rPr>
        <w:t>ex-post</w:t>
      </w:r>
      <w:r>
        <w:t xml:space="preserve"> results for the </w:t>
      </w:r>
      <w:r w:rsidR="005C4A61">
        <w:t xml:space="preserve">typical </w:t>
      </w:r>
      <w:r>
        <w:t xml:space="preserve">event in the current study. </w:t>
      </w:r>
      <w:r w:rsidR="00A57B67">
        <w:t xml:space="preserve">The </w:t>
      </w:r>
      <w:r>
        <w:t>number</w:t>
      </w:r>
      <w:r w:rsidR="00A57B67">
        <w:t xml:space="preserve"> </w:t>
      </w:r>
      <w:r>
        <w:t xml:space="preserve">of </w:t>
      </w:r>
      <w:r w:rsidR="00075250">
        <w:t xml:space="preserve">service accounts </w:t>
      </w:r>
      <w:r>
        <w:t xml:space="preserve">nominated </w:t>
      </w:r>
      <w:r w:rsidR="00A57B67">
        <w:t xml:space="preserve">in CBP DA </w:t>
      </w:r>
      <w:r>
        <w:t xml:space="preserve">in 2014 </w:t>
      </w:r>
      <w:r w:rsidR="00A57B67">
        <w:t>was lower than forecast in the 2013</w:t>
      </w:r>
      <w:r>
        <w:t xml:space="preserve"> evaluation</w:t>
      </w:r>
      <w:r w:rsidR="00A57B67">
        <w:t>, resulting in somewhat smaller aggregate load impacts</w:t>
      </w:r>
      <w:r>
        <w:t xml:space="preserve">. </w:t>
      </w:r>
      <w:r w:rsidR="00A57B67">
        <w:t xml:space="preserve">The </w:t>
      </w:r>
      <w:r>
        <w:t xml:space="preserve">larger number of </w:t>
      </w:r>
      <w:r w:rsidR="00A57B67">
        <w:t xml:space="preserve">nominated </w:t>
      </w:r>
      <w:r w:rsidR="00075250">
        <w:t xml:space="preserve">service accounts </w:t>
      </w:r>
      <w:r w:rsidR="00A57B67">
        <w:t xml:space="preserve">for CBP DO, as well as the larger aggregate load impacts, </w:t>
      </w:r>
      <w:r>
        <w:t xml:space="preserve">are </w:t>
      </w:r>
      <w:r w:rsidR="00A57B67">
        <w:t xml:space="preserve">due to the transfer of </w:t>
      </w:r>
      <w:r w:rsidR="00075250">
        <w:t>service accounts</w:t>
      </w:r>
      <w:r w:rsidR="00A57B67">
        <w:t xml:space="preserve"> from AMP DO</w:t>
      </w:r>
      <w:r>
        <w:t xml:space="preserve">. </w:t>
      </w:r>
      <w:r w:rsidR="00A57B67">
        <w:t xml:space="preserve">For AMP DO, the </w:t>
      </w:r>
      <w:r w:rsidR="00075250">
        <w:t xml:space="preserve">lower </w:t>
      </w:r>
      <w:r w:rsidR="00A57B67">
        <w:t xml:space="preserve">number of </w:t>
      </w:r>
      <w:r w:rsidR="00595F10">
        <w:t>service accounts</w:t>
      </w:r>
      <w:r w:rsidR="00A57B67">
        <w:t xml:space="preserve"> </w:t>
      </w:r>
      <w:r w:rsidR="00075250">
        <w:t xml:space="preserve">still </w:t>
      </w:r>
      <w:r w:rsidR="00A57B67">
        <w:t>yield</w:t>
      </w:r>
      <w:r w:rsidR="00FB366B">
        <w:t>ed</w:t>
      </w:r>
      <w:r w:rsidR="00A57B67">
        <w:t xml:space="preserve"> a </w:t>
      </w:r>
      <w:r w:rsidR="00075250">
        <w:t xml:space="preserve">slightly larger </w:t>
      </w:r>
      <w:r w:rsidR="00A57B67">
        <w:t xml:space="preserve">aggregate load impact than </w:t>
      </w:r>
      <w:r w:rsidR="00075250">
        <w:t xml:space="preserve">was </w:t>
      </w:r>
      <w:r w:rsidR="00A57B67">
        <w:t>forecast.</w:t>
      </w:r>
    </w:p>
    <w:p w:rsidR="00813579" w:rsidRDefault="00813579" w:rsidP="00813579"/>
    <w:p w:rsidR="00813579" w:rsidRDefault="00813579" w:rsidP="00813579">
      <w:pPr>
        <w:pStyle w:val="TableCaption"/>
      </w:pPr>
      <w:bookmarkStart w:id="290" w:name="_Toc382565952"/>
      <w:bookmarkStart w:id="291" w:name="_Toc414545928"/>
      <w:r>
        <w:t xml:space="preserve">Table 7–6: Current </w:t>
      </w:r>
      <w:r>
        <w:rPr>
          <w:i/>
        </w:rPr>
        <w:t>Ex-Post</w:t>
      </w:r>
      <w:r>
        <w:t xml:space="preserve"> and Previous </w:t>
      </w:r>
      <w:r>
        <w:rPr>
          <w:i/>
        </w:rPr>
        <w:t>Ex-Ante</w:t>
      </w:r>
      <w:r>
        <w:t xml:space="preserve"> Forecast Load Impacts for 2014, </w:t>
      </w:r>
      <w:r>
        <w:rPr>
          <w:i/>
        </w:rPr>
        <w:t>SCE</w:t>
      </w:r>
      <w:bookmarkEnd w:id="290"/>
      <w:bookmarkEnd w:id="291"/>
      <w:r>
        <w:t xml:space="preserve"> </w:t>
      </w:r>
    </w:p>
    <w:p w:rsidR="00813579" w:rsidRDefault="00C66EB8" w:rsidP="00813579">
      <w:pPr>
        <w:jc w:val="center"/>
      </w:pPr>
      <w:r w:rsidRPr="00C66EB8">
        <w:rPr>
          <w:noProof/>
        </w:rPr>
        <w:drawing>
          <wp:inline distT="0" distB="0" distL="0" distR="0">
            <wp:extent cx="4884420" cy="201930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884420" cy="2019300"/>
                    </a:xfrm>
                    <a:prstGeom prst="rect">
                      <a:avLst/>
                    </a:prstGeom>
                    <a:noFill/>
                    <a:ln>
                      <a:noFill/>
                    </a:ln>
                  </pic:spPr>
                </pic:pic>
              </a:graphicData>
            </a:graphic>
          </wp:inline>
        </w:drawing>
      </w:r>
    </w:p>
    <w:p w:rsidR="00813579" w:rsidRDefault="00813579" w:rsidP="00813579"/>
    <w:p w:rsidR="00813579" w:rsidRDefault="00813579" w:rsidP="00813579">
      <w:pPr>
        <w:pStyle w:val="Heading2"/>
      </w:pPr>
      <w:bookmarkStart w:id="292" w:name="_Toc382566038"/>
      <w:bookmarkStart w:id="293" w:name="_Toc415231808"/>
      <w:r w:rsidRPr="00A57B67">
        <w:t>7.4 SDG&amp;E CBP</w:t>
      </w:r>
      <w:bookmarkEnd w:id="292"/>
      <w:bookmarkEnd w:id="293"/>
    </w:p>
    <w:p w:rsidR="00813579" w:rsidRDefault="00813579" w:rsidP="00813579">
      <w:pPr>
        <w:pStyle w:val="Heading3"/>
      </w:pPr>
      <w:bookmarkStart w:id="294" w:name="_Toc382566039"/>
      <w:bookmarkStart w:id="295" w:name="_Toc415231809"/>
      <w:r>
        <w:t>7.4.1 Previous and current ex-post, and forecast for 201</w:t>
      </w:r>
      <w:bookmarkEnd w:id="294"/>
      <w:r w:rsidR="00574C98">
        <w:t>5</w:t>
      </w:r>
      <w:bookmarkEnd w:id="295"/>
    </w:p>
    <w:p w:rsidR="00813579" w:rsidRDefault="00813579" w:rsidP="00813579">
      <w:r>
        <w:t xml:space="preserve">Table 7–7 </w:t>
      </w:r>
      <w:r w:rsidR="00574C98">
        <w:t xml:space="preserve">compares estimated </w:t>
      </w:r>
      <w:r w:rsidR="00574C98">
        <w:rPr>
          <w:i/>
        </w:rPr>
        <w:t>ex-post</w:t>
      </w:r>
      <w:r w:rsidR="00574C98">
        <w:t xml:space="preserve"> load impacts for the average of the typical CBP events in the current and two previous program years, by notice type, along with this year’s </w:t>
      </w:r>
      <w:r w:rsidR="00574C98">
        <w:rPr>
          <w:i/>
        </w:rPr>
        <w:t>ex-ante</w:t>
      </w:r>
      <w:r w:rsidR="00574C98">
        <w:t xml:space="preserve"> forecast for 2015. </w:t>
      </w:r>
    </w:p>
    <w:p w:rsidR="00813579" w:rsidRDefault="00813579" w:rsidP="00813579"/>
    <w:p w:rsidR="00813579" w:rsidRDefault="00813579" w:rsidP="00813579">
      <w:r>
        <w:t xml:space="preserve">The number of customers nominated in CBP DA have increased </w:t>
      </w:r>
      <w:r w:rsidR="00F903EA">
        <w:t xml:space="preserve">steadily </w:t>
      </w:r>
      <w:r>
        <w:t xml:space="preserve">over the past three years. </w:t>
      </w:r>
      <w:r w:rsidR="00F903EA">
        <w:t>C</w:t>
      </w:r>
      <w:r>
        <w:t xml:space="preserve">ustomers nominated in CBP DO </w:t>
      </w:r>
      <w:r w:rsidR="00F903EA">
        <w:t xml:space="preserve">have </w:t>
      </w:r>
      <w:r>
        <w:t xml:space="preserve">declined </w:t>
      </w:r>
      <w:r w:rsidR="00F903EA">
        <w:t>over the same years</w:t>
      </w:r>
      <w:r>
        <w:t>. Forecast numbers of customers for 201</w:t>
      </w:r>
      <w:r w:rsidR="00F903EA">
        <w:t>5</w:t>
      </w:r>
      <w:r>
        <w:t xml:space="preserve"> are expected to </w:t>
      </w:r>
      <w:r w:rsidR="00F903EA">
        <w:t xml:space="preserve">remain approximately </w:t>
      </w:r>
      <w:r w:rsidR="00574C98">
        <w:t xml:space="preserve">at the 2014 level </w:t>
      </w:r>
      <w:r w:rsidR="00F903EA">
        <w:t xml:space="preserve">for DA, and to </w:t>
      </w:r>
      <w:r>
        <w:t xml:space="preserve">increase somewhat for </w:t>
      </w:r>
      <w:r w:rsidR="00F903EA">
        <w:t>DO from the numbers in 2014</w:t>
      </w:r>
      <w:r>
        <w:t xml:space="preserve">. </w:t>
      </w:r>
      <w:r w:rsidR="00F903EA">
        <w:t>A</w:t>
      </w:r>
      <w:r>
        <w:t xml:space="preserve">ggregate estimated </w:t>
      </w:r>
      <w:r>
        <w:rPr>
          <w:i/>
        </w:rPr>
        <w:t>ex-post</w:t>
      </w:r>
      <w:r>
        <w:t xml:space="preserve"> load impacts for both notice types have remained fairly level, except for a dip in 2012 for DA.</w:t>
      </w:r>
      <w:r>
        <w:rPr>
          <w:rStyle w:val="FootnoteReference"/>
        </w:rPr>
        <w:footnoteReference w:id="19"/>
      </w:r>
      <w:r>
        <w:t xml:space="preserve"> Forecast load impacts </w:t>
      </w:r>
      <w:r w:rsidR="00323094">
        <w:t xml:space="preserve">for 2015 </w:t>
      </w:r>
      <w:r>
        <w:t xml:space="preserve">are </w:t>
      </w:r>
      <w:r w:rsidR="00323094">
        <w:t xml:space="preserve">up </w:t>
      </w:r>
      <w:r w:rsidR="00BD1265">
        <w:t>modestly</w:t>
      </w:r>
      <w:r w:rsidR="00323094">
        <w:t xml:space="preserve"> </w:t>
      </w:r>
      <w:r>
        <w:t xml:space="preserve">for both DA and DO </w:t>
      </w:r>
      <w:r w:rsidR="00BD1265">
        <w:t>from</w:t>
      </w:r>
      <w:r>
        <w:t xml:space="preserve"> the 2014 </w:t>
      </w:r>
      <w:r w:rsidRPr="00323094">
        <w:rPr>
          <w:i/>
        </w:rPr>
        <w:t>ex-post</w:t>
      </w:r>
      <w:r>
        <w:t xml:space="preserve"> results</w:t>
      </w:r>
      <w:r w:rsidR="00323094">
        <w:t xml:space="preserve">. </w:t>
      </w:r>
      <w:r w:rsidR="00BD1265">
        <w:t xml:space="preserve">The forecasts are based on </w:t>
      </w:r>
      <w:r w:rsidR="00E6280D">
        <w:t xml:space="preserve">the </w:t>
      </w:r>
      <w:r w:rsidR="00E6280D" w:rsidRPr="00E6280D">
        <w:rPr>
          <w:i/>
        </w:rPr>
        <w:t>ex-</w:t>
      </w:r>
      <w:r w:rsidR="00E6280D" w:rsidRPr="00E6280D">
        <w:rPr>
          <w:i/>
        </w:rPr>
        <w:lastRenderedPageBreak/>
        <w:t>post</w:t>
      </w:r>
      <w:r w:rsidR="00E6280D">
        <w:t xml:space="preserve"> performance for up to the last three program years for </w:t>
      </w:r>
      <w:r w:rsidR="00595F10">
        <w:t>service accounts</w:t>
      </w:r>
      <w:r w:rsidR="00E6280D">
        <w:t xml:space="preserve"> enrolled and nominated in 2014</w:t>
      </w:r>
      <w:r w:rsidR="0096735B">
        <w:t>, and not dropping out of the program before the end of the summer</w:t>
      </w:r>
      <w:r w:rsidR="00E6280D">
        <w:t xml:space="preserve">. </w:t>
      </w:r>
    </w:p>
    <w:p w:rsidR="00813579" w:rsidRDefault="00813579" w:rsidP="00813579"/>
    <w:p w:rsidR="00813579" w:rsidRDefault="00813579" w:rsidP="00813579">
      <w:pPr>
        <w:pStyle w:val="TableCaption"/>
      </w:pPr>
      <w:bookmarkStart w:id="296" w:name="_Toc382565953"/>
      <w:bookmarkStart w:id="297" w:name="_Toc414545929"/>
      <w:r>
        <w:t xml:space="preserve">Table 7–7: </w:t>
      </w:r>
      <w:r>
        <w:rPr>
          <w:i/>
        </w:rPr>
        <w:t>Ex-Post</w:t>
      </w:r>
      <w:r>
        <w:t xml:space="preserve"> Load Impacts for PY201</w:t>
      </w:r>
      <w:r w:rsidR="00F903EA">
        <w:t>2</w:t>
      </w:r>
      <w:r>
        <w:t xml:space="preserve"> through 2014, and </w:t>
      </w:r>
      <w:r>
        <w:rPr>
          <w:i/>
        </w:rPr>
        <w:t>Ex-Ante</w:t>
      </w:r>
      <w:r>
        <w:t xml:space="preserve"> </w:t>
      </w:r>
      <w:r w:rsidR="00F903EA">
        <w:t xml:space="preserve">for 2015 </w:t>
      </w:r>
      <w:r>
        <w:t xml:space="preserve">– </w:t>
      </w:r>
      <w:r>
        <w:br/>
      </w:r>
      <w:r>
        <w:rPr>
          <w:i/>
        </w:rPr>
        <w:t>SDG&amp;E CBP</w:t>
      </w:r>
      <w:bookmarkEnd w:id="296"/>
      <w:bookmarkEnd w:id="297"/>
    </w:p>
    <w:p w:rsidR="00813579" w:rsidRDefault="00574C98" w:rsidP="00813579">
      <w:pPr>
        <w:jc w:val="center"/>
      </w:pPr>
      <w:r w:rsidRPr="00574C98">
        <w:rPr>
          <w:noProof/>
        </w:rPr>
        <w:drawing>
          <wp:inline distT="0" distB="0" distL="0" distR="0">
            <wp:extent cx="5486400" cy="2118886"/>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486400" cy="2118886"/>
                    </a:xfrm>
                    <a:prstGeom prst="rect">
                      <a:avLst/>
                    </a:prstGeom>
                    <a:noFill/>
                    <a:ln>
                      <a:noFill/>
                    </a:ln>
                  </pic:spPr>
                </pic:pic>
              </a:graphicData>
            </a:graphic>
          </wp:inline>
        </w:drawing>
      </w:r>
    </w:p>
    <w:p w:rsidR="00813579" w:rsidRDefault="00813579" w:rsidP="00813579"/>
    <w:p w:rsidR="00813579" w:rsidRDefault="00813579" w:rsidP="00813579">
      <w:pPr>
        <w:pStyle w:val="Heading3"/>
      </w:pPr>
      <w:bookmarkStart w:id="298" w:name="_Toc382566040"/>
      <w:bookmarkStart w:id="299" w:name="_Toc415231810"/>
      <w:r>
        <w:t xml:space="preserve">7.4.2 Previous versus current </w:t>
      </w:r>
      <w:r>
        <w:rPr>
          <w:i w:val="0"/>
        </w:rPr>
        <w:t>ex-ante</w:t>
      </w:r>
      <w:bookmarkEnd w:id="298"/>
      <w:bookmarkEnd w:id="299"/>
    </w:p>
    <w:p w:rsidR="00813579" w:rsidRDefault="00813579" w:rsidP="00813579">
      <w:r>
        <w:t xml:space="preserve">Table 7–8 compares the CBP </w:t>
      </w:r>
      <w:r>
        <w:rPr>
          <w:i/>
        </w:rPr>
        <w:t>ex-ante</w:t>
      </w:r>
      <w:r>
        <w:t xml:space="preserve"> forecasts for </w:t>
      </w:r>
      <w:r w:rsidR="0096735B">
        <w:t xml:space="preserve">program-year </w:t>
      </w:r>
      <w:r>
        <w:t xml:space="preserve">2015 </w:t>
      </w:r>
      <w:r w:rsidR="0096735B">
        <w:t xml:space="preserve">that were </w:t>
      </w:r>
      <w:r>
        <w:t>produced as part of this 2014 evaluation and the previous evaluation. In both cases, the forecast represents the August peak day</w:t>
      </w:r>
      <w:r w:rsidR="00323094">
        <w:t xml:space="preserve"> in the utility-peak 1-in-2 </w:t>
      </w:r>
      <w:r w:rsidR="0096735B">
        <w:t xml:space="preserve">weather </w:t>
      </w:r>
      <w:r w:rsidR="00323094">
        <w:t>scenario</w:t>
      </w:r>
      <w:r>
        <w:t xml:space="preserve">. There is no difference between the program- and portfolio-level impacts. </w:t>
      </w:r>
    </w:p>
    <w:p w:rsidR="00813579" w:rsidRDefault="00813579" w:rsidP="00813579"/>
    <w:p w:rsidR="00813579" w:rsidRDefault="00813579" w:rsidP="00813579">
      <w:r>
        <w:t>The projected aggregate load reduction</w:t>
      </w:r>
      <w:r w:rsidR="00323094">
        <w:t>s</w:t>
      </w:r>
      <w:r>
        <w:t xml:space="preserve"> for the CBP DA option increase from </w:t>
      </w:r>
      <w:r w:rsidR="00323094">
        <w:t>9.5</w:t>
      </w:r>
      <w:r>
        <w:t xml:space="preserve"> MW to </w:t>
      </w:r>
      <w:r w:rsidR="00323094">
        <w:t>11</w:t>
      </w:r>
      <w:r w:rsidR="0096735B">
        <w:t>.9</w:t>
      </w:r>
      <w:r>
        <w:t xml:space="preserve"> MW between the two studies</w:t>
      </w:r>
      <w:r w:rsidR="0096735B">
        <w:t xml:space="preserve">, which is consistent with the larger number of nominated </w:t>
      </w:r>
      <w:r w:rsidR="00595F10">
        <w:t>service accounts</w:t>
      </w:r>
      <w:r w:rsidR="0096735B">
        <w:t xml:space="preserve"> and an increase in the projected percent load impacts (which is in turn based on the performance of the </w:t>
      </w:r>
      <w:r w:rsidR="00595F10">
        <w:t>service accounts</w:t>
      </w:r>
      <w:r w:rsidR="0096735B">
        <w:t xml:space="preserve"> remaining in the program at the end of program-year 2014</w:t>
      </w:r>
      <w:r>
        <w:t xml:space="preserve">. </w:t>
      </w:r>
      <w:r w:rsidR="0096735B">
        <w:t>For CBP DO, t</w:t>
      </w:r>
      <w:r>
        <w:t xml:space="preserve">he projected aggregate load </w:t>
      </w:r>
      <w:r w:rsidR="0096735B">
        <w:t xml:space="preserve">impact matches the previous forecast </w:t>
      </w:r>
      <w:r w:rsidR="003C5330">
        <w:t>quite closely</w:t>
      </w:r>
      <w:r w:rsidR="00F85278">
        <w:t xml:space="preserve"> (9.</w:t>
      </w:r>
      <w:r w:rsidR="003C5330">
        <w:t>8</w:t>
      </w:r>
      <w:r w:rsidR="00F85278">
        <w:t xml:space="preserve"> MW in the current study compared to 10.2 MW in the previous study</w:t>
      </w:r>
      <w:r w:rsidR="003C5330">
        <w:t>).</w:t>
      </w:r>
    </w:p>
    <w:p w:rsidR="00F85278" w:rsidRDefault="00F85278" w:rsidP="00813579"/>
    <w:p w:rsidR="00813579" w:rsidRDefault="00813579" w:rsidP="00813579">
      <w:pPr>
        <w:pStyle w:val="TableCaption"/>
      </w:pPr>
      <w:bookmarkStart w:id="300" w:name="_Toc382565954"/>
      <w:bookmarkStart w:id="301" w:name="_Toc414545930"/>
      <w:r>
        <w:t xml:space="preserve">Table 7–8: </w:t>
      </w:r>
      <w:r>
        <w:rPr>
          <w:i/>
        </w:rPr>
        <w:t>Ex-Ante</w:t>
      </w:r>
      <w:r>
        <w:t xml:space="preserve"> Load Impacts for 2015 from PY 201</w:t>
      </w:r>
      <w:r w:rsidR="00F903EA">
        <w:t>3</w:t>
      </w:r>
      <w:r>
        <w:t xml:space="preserve"> and PY 2014 Studies, </w:t>
      </w:r>
      <w:r>
        <w:rPr>
          <w:i/>
        </w:rPr>
        <w:t>SDG&amp;E</w:t>
      </w:r>
      <w:bookmarkEnd w:id="300"/>
      <w:bookmarkEnd w:id="301"/>
    </w:p>
    <w:p w:rsidR="00813579" w:rsidRDefault="00574C98" w:rsidP="00813579">
      <w:pPr>
        <w:jc w:val="center"/>
      </w:pPr>
      <w:r w:rsidRPr="00574C98">
        <w:rPr>
          <w:noProof/>
        </w:rPr>
        <w:drawing>
          <wp:inline distT="0" distB="0" distL="0" distR="0">
            <wp:extent cx="4886325" cy="12382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886325" cy="1238250"/>
                    </a:xfrm>
                    <a:prstGeom prst="rect">
                      <a:avLst/>
                    </a:prstGeom>
                    <a:noFill/>
                    <a:ln>
                      <a:noFill/>
                    </a:ln>
                  </pic:spPr>
                </pic:pic>
              </a:graphicData>
            </a:graphic>
          </wp:inline>
        </w:drawing>
      </w:r>
    </w:p>
    <w:p w:rsidR="00813579" w:rsidRDefault="00813579" w:rsidP="00813579">
      <w:pPr>
        <w:pStyle w:val="Heading3"/>
      </w:pPr>
      <w:bookmarkStart w:id="302" w:name="_Toc382566041"/>
      <w:bookmarkStart w:id="303" w:name="_Toc415231811"/>
      <w:r>
        <w:lastRenderedPageBreak/>
        <w:t>7.4.3 Current ex-post compared to previous ex-ante</w:t>
      </w:r>
      <w:bookmarkEnd w:id="302"/>
      <w:bookmarkEnd w:id="303"/>
    </w:p>
    <w:p w:rsidR="00813579" w:rsidRDefault="00813579" w:rsidP="00813579">
      <w:r>
        <w:t xml:space="preserve">Table 7–9 compares current </w:t>
      </w:r>
      <w:r w:rsidR="00A57B67">
        <w:t xml:space="preserve">PY2014 </w:t>
      </w:r>
      <w:r>
        <w:rPr>
          <w:i/>
        </w:rPr>
        <w:t>ex-post</w:t>
      </w:r>
      <w:r>
        <w:t xml:space="preserve"> </w:t>
      </w:r>
      <w:r w:rsidR="00A57B67">
        <w:t xml:space="preserve">load impacts </w:t>
      </w:r>
      <w:r>
        <w:t>to values for 2014 from the PY201</w:t>
      </w:r>
      <w:r w:rsidR="00F85278">
        <w:t>3</w:t>
      </w:r>
      <w:r>
        <w:t xml:space="preserve"> </w:t>
      </w:r>
      <w:r>
        <w:rPr>
          <w:i/>
        </w:rPr>
        <w:t>ex-ante</w:t>
      </w:r>
      <w:r>
        <w:t xml:space="preserve"> forecast. Current-year </w:t>
      </w:r>
      <w:r w:rsidR="00F85278">
        <w:t>numbers of nominated</w:t>
      </w:r>
      <w:r>
        <w:t xml:space="preserve"> </w:t>
      </w:r>
      <w:r w:rsidR="00595F10">
        <w:t>service accounts</w:t>
      </w:r>
      <w:r w:rsidR="00F85278">
        <w:t xml:space="preserve"> </w:t>
      </w:r>
      <w:r>
        <w:t>were higher than expected for CBP DA and lower than expected for CBP DO, compared to the forecast for 2014 in the PY201</w:t>
      </w:r>
      <w:r w:rsidR="00F85278">
        <w:t>3</w:t>
      </w:r>
      <w:r>
        <w:t xml:space="preserve"> forecast. Average customer size, as reflected in the reference loads, is </w:t>
      </w:r>
      <w:r w:rsidR="00F85278">
        <w:t xml:space="preserve">somewhat smaller than anticipated for DA, and slightly larger for DO, while percentage load impacts are </w:t>
      </w:r>
      <w:r w:rsidR="00A57B67">
        <w:t>similar</w:t>
      </w:r>
      <w:r>
        <w:t xml:space="preserve">. </w:t>
      </w:r>
    </w:p>
    <w:p w:rsidR="00813579" w:rsidRDefault="00813579" w:rsidP="00813579"/>
    <w:p w:rsidR="00813579" w:rsidRDefault="00813579" w:rsidP="00813579">
      <w:r>
        <w:t>For DA, the aggregate estimated load impact (</w:t>
      </w:r>
      <w:r w:rsidR="00A57B67">
        <w:t>9</w:t>
      </w:r>
      <w:r>
        <w:t>.</w:t>
      </w:r>
      <w:r w:rsidR="00A57B67">
        <w:t>9</w:t>
      </w:r>
      <w:r>
        <w:t xml:space="preserve"> MW) was </w:t>
      </w:r>
      <w:r w:rsidR="00A57B67">
        <w:t>slightly higher</w:t>
      </w:r>
      <w:r w:rsidR="00361E97">
        <w:t xml:space="preserve"> </w:t>
      </w:r>
      <w:r>
        <w:t>than the forecast value (</w:t>
      </w:r>
      <w:r w:rsidR="00361E97">
        <w:t>9.5</w:t>
      </w:r>
      <w:r>
        <w:t xml:space="preserve"> MW). For DO, the aggregate load impact of </w:t>
      </w:r>
      <w:r w:rsidR="00361E97">
        <w:t>8</w:t>
      </w:r>
      <w:r>
        <w:t>.</w:t>
      </w:r>
      <w:r w:rsidR="00361E97">
        <w:t>8</w:t>
      </w:r>
      <w:r>
        <w:t xml:space="preserve"> </w:t>
      </w:r>
      <w:r w:rsidR="00A57B67">
        <w:t xml:space="preserve">MW </w:t>
      </w:r>
      <w:r>
        <w:t xml:space="preserve">is </w:t>
      </w:r>
      <w:r w:rsidR="00361E97">
        <w:t xml:space="preserve">down somewhat from </w:t>
      </w:r>
      <w:r>
        <w:t xml:space="preserve">the forecast value, </w:t>
      </w:r>
      <w:r w:rsidR="00A57B67">
        <w:t xml:space="preserve">which is consistent with the </w:t>
      </w:r>
      <w:r>
        <w:t xml:space="preserve">smaller number of </w:t>
      </w:r>
      <w:r w:rsidR="00A57B67">
        <w:t xml:space="preserve">nominated </w:t>
      </w:r>
      <w:r w:rsidR="00595F10">
        <w:t>service accounts</w:t>
      </w:r>
      <w:r>
        <w:t xml:space="preserve"> </w:t>
      </w:r>
      <w:r w:rsidR="00361E97">
        <w:t>than forecast</w:t>
      </w:r>
      <w:r>
        <w:t>.</w:t>
      </w:r>
    </w:p>
    <w:p w:rsidR="00813579" w:rsidRDefault="00813579" w:rsidP="00813579"/>
    <w:p w:rsidR="00813579" w:rsidRDefault="00813579" w:rsidP="00813579">
      <w:pPr>
        <w:pStyle w:val="TableCaption"/>
      </w:pPr>
      <w:bookmarkStart w:id="304" w:name="_Toc382565955"/>
      <w:bookmarkStart w:id="305" w:name="_Toc414545931"/>
      <w:r>
        <w:t xml:space="preserve">Table 7–9: Current </w:t>
      </w:r>
      <w:r>
        <w:rPr>
          <w:i/>
        </w:rPr>
        <w:t>Ex-Post</w:t>
      </w:r>
      <w:r>
        <w:t xml:space="preserve"> and P</w:t>
      </w:r>
      <w:r w:rsidR="00F903EA">
        <w:t>Y2013</w:t>
      </w:r>
      <w:r>
        <w:t xml:space="preserve"> </w:t>
      </w:r>
      <w:r>
        <w:rPr>
          <w:i/>
        </w:rPr>
        <w:t>Ex-Ante</w:t>
      </w:r>
      <w:r>
        <w:t xml:space="preserve"> Load Impacts for 2014, </w:t>
      </w:r>
      <w:r>
        <w:rPr>
          <w:i/>
        </w:rPr>
        <w:t>SDG&amp;E</w:t>
      </w:r>
      <w:bookmarkEnd w:id="304"/>
      <w:bookmarkEnd w:id="305"/>
      <w:r>
        <w:t xml:space="preserve"> </w:t>
      </w:r>
    </w:p>
    <w:p w:rsidR="00813579" w:rsidRDefault="003C5330" w:rsidP="00813579">
      <w:pPr>
        <w:jc w:val="center"/>
      </w:pPr>
      <w:r w:rsidRPr="003C5330">
        <w:rPr>
          <w:noProof/>
        </w:rPr>
        <w:drawing>
          <wp:inline distT="0" distB="0" distL="0" distR="0">
            <wp:extent cx="4886325" cy="1314450"/>
            <wp:effectExtent l="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886325" cy="1314450"/>
                    </a:xfrm>
                    <a:prstGeom prst="rect">
                      <a:avLst/>
                    </a:prstGeom>
                    <a:noFill/>
                    <a:ln>
                      <a:noFill/>
                    </a:ln>
                  </pic:spPr>
                </pic:pic>
              </a:graphicData>
            </a:graphic>
          </wp:inline>
        </w:drawing>
      </w:r>
    </w:p>
    <w:p w:rsidR="00813579" w:rsidRPr="00764729" w:rsidRDefault="00813579" w:rsidP="00813579"/>
    <w:p w:rsidR="005906CE" w:rsidRDefault="00A35601" w:rsidP="001F1D3E">
      <w:pPr>
        <w:pStyle w:val="Heading1"/>
        <w:numPr>
          <w:ilvl w:val="0"/>
          <w:numId w:val="0"/>
        </w:numPr>
      </w:pPr>
      <w:bookmarkStart w:id="306" w:name="_Toc346119253"/>
      <w:bookmarkStart w:id="307" w:name="_Toc415231812"/>
      <w:r>
        <w:t>8.</w:t>
      </w:r>
      <w:r>
        <w:tab/>
      </w:r>
      <w:r w:rsidR="001F1D3E">
        <w:t xml:space="preserve">Model Selection and </w:t>
      </w:r>
      <w:r w:rsidR="005906CE">
        <w:t>Validity Assessment</w:t>
      </w:r>
      <w:bookmarkEnd w:id="306"/>
      <w:bookmarkEnd w:id="307"/>
    </w:p>
    <w:p w:rsidR="00B30565" w:rsidRDefault="00A35601" w:rsidP="00B30565">
      <w:pPr>
        <w:pStyle w:val="Heading2"/>
      </w:pPr>
      <w:bookmarkStart w:id="308" w:name="_Toc314830418"/>
      <w:bookmarkStart w:id="309" w:name="_Toc347130357"/>
      <w:bookmarkStart w:id="310" w:name="_Toc415231813"/>
      <w:r>
        <w:t>8</w:t>
      </w:r>
      <w:r w:rsidR="00B30565">
        <w:t>.1 Model Specification Tests</w:t>
      </w:r>
      <w:bookmarkEnd w:id="308"/>
      <w:bookmarkEnd w:id="309"/>
      <w:bookmarkEnd w:id="310"/>
    </w:p>
    <w:p w:rsidR="00B30565" w:rsidRPr="00CD66DA" w:rsidRDefault="00B30565" w:rsidP="00A44BB8">
      <w:pPr>
        <w:spacing w:after="120"/>
      </w:pPr>
      <w:r w:rsidRPr="00CD66DA">
        <w:t xml:space="preserve">A range of model specifications were tested before arriving at the model used in the </w:t>
      </w:r>
      <w:r w:rsidR="00B74B13" w:rsidRPr="00B74B13">
        <w:rPr>
          <w:i/>
        </w:rPr>
        <w:t>ex-post</w:t>
      </w:r>
      <w:r w:rsidRPr="00CD66DA">
        <w:t xml:space="preserve"> load impact analysis. The basic structure of the model is shown in Section 3.2.1. The tests are conducted using average-customer data (by utility</w:t>
      </w:r>
      <w:r w:rsidR="00E76ACE">
        <w:t>, program,</w:t>
      </w:r>
      <w:r>
        <w:t xml:space="preserve"> and notice</w:t>
      </w:r>
      <w:r w:rsidRPr="00CD66DA">
        <w:t>) rather than at the individual customer level</w:t>
      </w:r>
      <w:r>
        <w:t>.</w:t>
      </w:r>
      <w:r w:rsidR="00A44BB8">
        <w:t xml:space="preserve"> Model variations include </w:t>
      </w:r>
      <w:r w:rsidRPr="00CD66DA">
        <w:t>18 different combinations of weather variables. The weather variables include: temperature-humidity index (THI)</w:t>
      </w:r>
      <w:r w:rsidRPr="00CD66DA">
        <w:rPr>
          <w:rStyle w:val="FootnoteReference"/>
        </w:rPr>
        <w:footnoteReference w:id="20"/>
      </w:r>
      <w:r w:rsidRPr="00CD66DA">
        <w:t>; the 24-hour moving average of THI; heat index (HI)</w:t>
      </w:r>
      <w:r w:rsidRPr="00CD66DA">
        <w:rPr>
          <w:rStyle w:val="FootnoteReference"/>
        </w:rPr>
        <w:footnoteReference w:id="21"/>
      </w:r>
      <w:r w:rsidRPr="00CD66DA">
        <w:t>; the 24-hour moving average of HI; cooling degree hours (CDH)</w:t>
      </w:r>
      <w:r w:rsidRPr="00CD66DA">
        <w:rPr>
          <w:rStyle w:val="FootnoteReference"/>
        </w:rPr>
        <w:footnoteReference w:id="22"/>
      </w:r>
      <w:r w:rsidRPr="00CD66DA">
        <w:t xml:space="preserve">, including both a 60 and 65 degree Fahrenheit threshold; the 3-hour moving average of CDH; the 24-hour moving </w:t>
      </w:r>
      <w:r w:rsidRPr="00CD66DA">
        <w:lastRenderedPageBreak/>
        <w:t>average of CDH; the one-day lag of cooling degree days (CDD)</w:t>
      </w:r>
      <w:r w:rsidRPr="00CD66DA">
        <w:rPr>
          <w:rStyle w:val="FootnoteReference"/>
        </w:rPr>
        <w:footnoteReference w:id="23"/>
      </w:r>
      <w:r w:rsidRPr="00CD66DA">
        <w:t>. A list of the 18 combinations of these variables that we tested i</w:t>
      </w:r>
      <w:r>
        <w:t>s</w:t>
      </w:r>
      <w:r w:rsidRPr="00CD66DA">
        <w:t xml:space="preserve"> provided in Table </w:t>
      </w:r>
      <w:r w:rsidR="00A35601">
        <w:t>8</w:t>
      </w:r>
      <w:r>
        <w:t>-</w:t>
      </w:r>
      <w:r w:rsidRPr="00CD66DA">
        <w:t>1.</w:t>
      </w:r>
    </w:p>
    <w:p w:rsidR="00B30565" w:rsidRPr="00CD66DA" w:rsidRDefault="00B30565" w:rsidP="00B30565"/>
    <w:p w:rsidR="00B30565" w:rsidRPr="002B4774" w:rsidRDefault="002B4774" w:rsidP="002961ED">
      <w:pPr>
        <w:pStyle w:val="TableCaption"/>
      </w:pPr>
      <w:bookmarkStart w:id="311" w:name="_Toc414545932"/>
      <w:r w:rsidRPr="002B4774">
        <w:t xml:space="preserve">Table </w:t>
      </w:r>
      <w:r w:rsidR="00A35601">
        <w:t>8</w:t>
      </w:r>
      <w:r w:rsidR="00947923">
        <w:t>–</w:t>
      </w:r>
      <w:fldSimple w:instr=" SEQ Table \* ARABIC \s 1 ">
        <w:r w:rsidR="004A7BE8">
          <w:rPr>
            <w:noProof/>
          </w:rPr>
          <w:t>1</w:t>
        </w:r>
      </w:fldSimple>
      <w:r w:rsidR="00B30565" w:rsidRPr="002B4774">
        <w:t>: Weather Variables Included in the Tested Specifications</w:t>
      </w:r>
      <w:bookmarkEnd w:id="3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2525"/>
      </w:tblGrid>
      <w:tr w:rsidR="00B30565" w:rsidRPr="00CD66DA" w:rsidTr="00833EC0">
        <w:trPr>
          <w:jc w:val="center"/>
        </w:trPr>
        <w:tc>
          <w:tcPr>
            <w:tcW w:w="0" w:type="auto"/>
            <w:shd w:val="clear" w:color="auto" w:fill="99CCFF"/>
          </w:tcPr>
          <w:p w:rsidR="00B30565" w:rsidRPr="00077984" w:rsidRDefault="00B30565" w:rsidP="00077984">
            <w:pPr>
              <w:keepNext/>
              <w:keepLines/>
              <w:widowControl w:val="0"/>
              <w:jc w:val="center"/>
              <w:rPr>
                <w:rFonts w:cs="Arial"/>
                <w:b/>
                <w:sz w:val="20"/>
                <w:szCs w:val="20"/>
              </w:rPr>
            </w:pPr>
            <w:r w:rsidRPr="00077984">
              <w:rPr>
                <w:rFonts w:cs="Arial"/>
                <w:b/>
                <w:sz w:val="20"/>
                <w:szCs w:val="20"/>
              </w:rPr>
              <w:t>Model Number</w:t>
            </w:r>
          </w:p>
        </w:tc>
        <w:tc>
          <w:tcPr>
            <w:tcW w:w="0" w:type="auto"/>
            <w:shd w:val="clear" w:color="auto" w:fill="99CCFF"/>
          </w:tcPr>
          <w:p w:rsidR="00B30565" w:rsidRPr="00077984" w:rsidRDefault="00B30565" w:rsidP="00077984">
            <w:pPr>
              <w:keepNext/>
              <w:keepLines/>
              <w:widowControl w:val="0"/>
              <w:rPr>
                <w:rFonts w:cs="Arial"/>
                <w:b/>
                <w:sz w:val="20"/>
                <w:szCs w:val="20"/>
              </w:rPr>
            </w:pPr>
            <w:r w:rsidRPr="00077984">
              <w:rPr>
                <w:rFonts w:cs="Arial"/>
                <w:b/>
                <w:sz w:val="20"/>
                <w:szCs w:val="20"/>
              </w:rPr>
              <w:t>Included Weather Variables</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THI</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2</w:t>
            </w:r>
          </w:p>
        </w:tc>
        <w:tc>
          <w:tcPr>
            <w:tcW w:w="0" w:type="auto"/>
            <w:shd w:val="clear" w:color="auto" w:fill="auto"/>
          </w:tcPr>
          <w:p w:rsidR="00B30565" w:rsidRPr="00077984" w:rsidRDefault="0033041B" w:rsidP="00077984">
            <w:pPr>
              <w:keepNext/>
              <w:keepLines/>
              <w:widowControl w:val="0"/>
              <w:rPr>
                <w:rFonts w:cs="Arial"/>
                <w:sz w:val="20"/>
                <w:szCs w:val="20"/>
              </w:rPr>
            </w:pPr>
            <w:r>
              <w:rPr>
                <w:rFonts w:cs="Arial"/>
                <w:sz w:val="20"/>
                <w:szCs w:val="20"/>
              </w:rPr>
              <w:t>Mean17</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3</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CDH60</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4</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CDH65</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5</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CDH60_MA3</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6</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CDH65_MA3</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7</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THI THI_MA24</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8</w:t>
            </w:r>
          </w:p>
        </w:tc>
        <w:tc>
          <w:tcPr>
            <w:tcW w:w="0" w:type="auto"/>
            <w:shd w:val="clear" w:color="auto" w:fill="auto"/>
          </w:tcPr>
          <w:p w:rsidR="00B30565" w:rsidRPr="0033041B" w:rsidRDefault="0033041B" w:rsidP="0033041B">
            <w:pPr>
              <w:rPr>
                <w:rFonts w:asciiTheme="minorHAnsi" w:hAnsiTheme="minorHAnsi" w:cs="Arial"/>
                <w:sz w:val="20"/>
                <w:szCs w:val="20"/>
              </w:rPr>
            </w:pPr>
            <w:r w:rsidRPr="0033041B">
              <w:rPr>
                <w:rFonts w:asciiTheme="minorHAnsi" w:hAnsiTheme="minorHAnsi" w:cs="Arial"/>
                <w:sz w:val="20"/>
                <w:szCs w:val="20"/>
              </w:rPr>
              <w:t>CDH60 mean17</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9</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CDH60 CDH60_MA24</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10</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CDH65 CDH65_MA24</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11</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CDH60_MA3 CDH60_MA24</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12</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CDH65_MA3 CDH65_MA24</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13</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THI Lag_CDD60</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14</w:t>
            </w:r>
          </w:p>
        </w:tc>
        <w:tc>
          <w:tcPr>
            <w:tcW w:w="0" w:type="auto"/>
            <w:shd w:val="clear" w:color="auto" w:fill="auto"/>
          </w:tcPr>
          <w:p w:rsidR="00B30565" w:rsidRPr="00077984" w:rsidRDefault="0033041B" w:rsidP="0033041B">
            <w:pPr>
              <w:rPr>
                <w:rFonts w:cs="Arial"/>
                <w:sz w:val="20"/>
                <w:szCs w:val="20"/>
              </w:rPr>
            </w:pPr>
            <w:r>
              <w:rPr>
                <w:rFonts w:cs="Arial"/>
                <w:sz w:val="20"/>
                <w:szCs w:val="20"/>
              </w:rPr>
              <w:t>CDH65 mean17</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15</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CDH60 Lag_CDD60</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16</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CDH65 Lag_CDD60</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17</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CDH60_MA3 Lag_CDD60</w:t>
            </w:r>
          </w:p>
        </w:tc>
      </w:tr>
      <w:tr w:rsidR="00B30565" w:rsidRPr="00CD66DA" w:rsidTr="00077984">
        <w:trPr>
          <w:jc w:val="center"/>
        </w:trPr>
        <w:tc>
          <w:tcPr>
            <w:tcW w:w="0" w:type="auto"/>
            <w:shd w:val="clear" w:color="auto" w:fill="auto"/>
          </w:tcPr>
          <w:p w:rsidR="00B30565" w:rsidRPr="00077984" w:rsidRDefault="00B30565" w:rsidP="00077984">
            <w:pPr>
              <w:keepNext/>
              <w:keepLines/>
              <w:widowControl w:val="0"/>
              <w:jc w:val="center"/>
              <w:rPr>
                <w:rFonts w:cs="Arial"/>
                <w:sz w:val="20"/>
                <w:szCs w:val="20"/>
              </w:rPr>
            </w:pPr>
            <w:r w:rsidRPr="00077984">
              <w:rPr>
                <w:rFonts w:cs="Arial"/>
                <w:sz w:val="20"/>
                <w:szCs w:val="20"/>
              </w:rPr>
              <w:t>18</w:t>
            </w:r>
          </w:p>
        </w:tc>
        <w:tc>
          <w:tcPr>
            <w:tcW w:w="0" w:type="auto"/>
            <w:shd w:val="clear" w:color="auto" w:fill="auto"/>
          </w:tcPr>
          <w:p w:rsidR="00B30565" w:rsidRPr="00077984" w:rsidRDefault="00B30565" w:rsidP="00077984">
            <w:pPr>
              <w:keepNext/>
              <w:keepLines/>
              <w:widowControl w:val="0"/>
              <w:rPr>
                <w:rFonts w:cs="Arial"/>
                <w:sz w:val="20"/>
                <w:szCs w:val="20"/>
              </w:rPr>
            </w:pPr>
            <w:r w:rsidRPr="00077984">
              <w:rPr>
                <w:rFonts w:cs="Arial"/>
                <w:sz w:val="20"/>
                <w:szCs w:val="20"/>
              </w:rPr>
              <w:t>CDH65_MA3 Lag_CDD60</w:t>
            </w:r>
          </w:p>
        </w:tc>
      </w:tr>
    </w:tbl>
    <w:p w:rsidR="00B30565" w:rsidRPr="00CD66DA" w:rsidRDefault="00B30565" w:rsidP="00B30565"/>
    <w:p w:rsidR="00B30565" w:rsidRPr="00CD66DA" w:rsidRDefault="00B30565" w:rsidP="00B30565">
      <w:r w:rsidRPr="00CD66DA">
        <w:t>The model variations are evaluated according to two primary validation tests:</w:t>
      </w:r>
    </w:p>
    <w:p w:rsidR="00B30565" w:rsidRPr="00CD66DA" w:rsidRDefault="00B30565" w:rsidP="00B30565">
      <w:pPr>
        <w:numPr>
          <w:ilvl w:val="0"/>
          <w:numId w:val="8"/>
        </w:numPr>
      </w:pPr>
      <w:r w:rsidRPr="00CD66DA">
        <w:t xml:space="preserve">Ability to predict usage on event-like </w:t>
      </w:r>
      <w:r w:rsidRPr="00CD66DA">
        <w:rPr>
          <w:i/>
        </w:rPr>
        <w:t>non-event days</w:t>
      </w:r>
      <w:r w:rsidRPr="00CD66DA">
        <w:t>. Specifically, we identif</w:t>
      </w:r>
      <w:r w:rsidR="00E76ACE">
        <w:t>y</w:t>
      </w:r>
      <w:r w:rsidRPr="00CD66DA">
        <w:t xml:space="preserve"> a set of days that </w:t>
      </w:r>
      <w:r w:rsidR="00E76ACE">
        <w:t xml:space="preserve">are </w:t>
      </w:r>
      <w:r w:rsidRPr="00CD66DA">
        <w:t>similar to event days, but were not called as event days (</w:t>
      </w:r>
      <w:r w:rsidR="00ED0F45" w:rsidRPr="00ED0F45">
        <w:rPr>
          <w:i/>
        </w:rPr>
        <w:t>i.e.</w:t>
      </w:r>
      <w:r w:rsidRPr="00CD66DA">
        <w:t xml:space="preserve">, </w:t>
      </w:r>
      <w:r w:rsidR="002961ED">
        <w:t>“</w:t>
      </w:r>
      <w:r w:rsidRPr="00CD66DA">
        <w:t>test days</w:t>
      </w:r>
      <w:r w:rsidR="002961ED">
        <w:t>”</w:t>
      </w:r>
      <w:r w:rsidRPr="00CD66DA">
        <w:t xml:space="preserve">). The use of non-event test days allows us to test model performance against known </w:t>
      </w:r>
      <w:r w:rsidR="002961ED">
        <w:t>“</w:t>
      </w:r>
      <w:r w:rsidRPr="00CD66DA">
        <w:t>reference loads,</w:t>
      </w:r>
      <w:r w:rsidR="002961ED">
        <w:t>”</w:t>
      </w:r>
      <w:r w:rsidRPr="00CD66DA">
        <w:t xml:space="preserve"> or customer usage in the absence of an event. We estimate the model excluding one of the test days and use the estimates to make out-of-sample predictions of customer loads on that day. The process is repeated for all of the test days. The model fit (</w:t>
      </w:r>
      <w:r w:rsidR="00ED0F45" w:rsidRPr="00ED0F45">
        <w:rPr>
          <w:i/>
        </w:rPr>
        <w:t>i.e.</w:t>
      </w:r>
      <w:r w:rsidRPr="00CD66DA">
        <w:t xml:space="preserve">, the difference between the actual and predicted loads on the test days, during afternoon hours in which events are typically called) is evaluated using mean absolute percentage error (MAPE) as a measure of accuracy, and mean percentage error (MPE) as a measure of bias. </w:t>
      </w:r>
    </w:p>
    <w:p w:rsidR="00B30565" w:rsidRPr="00CD66DA" w:rsidRDefault="00B30565" w:rsidP="00B30565">
      <w:pPr>
        <w:numPr>
          <w:ilvl w:val="0"/>
          <w:numId w:val="8"/>
        </w:numPr>
      </w:pPr>
      <w:r w:rsidRPr="00CD66DA">
        <w:t xml:space="preserve">Performance on </w:t>
      </w:r>
      <w:r w:rsidRPr="00CD66DA">
        <w:rPr>
          <w:i/>
        </w:rPr>
        <w:t>synthetic</w:t>
      </w:r>
      <w:r w:rsidRPr="00CD66DA">
        <w:t xml:space="preserve"> event days (</w:t>
      </w:r>
      <w:r w:rsidR="00ED0F45" w:rsidRPr="00ED0F45">
        <w:rPr>
          <w:i/>
        </w:rPr>
        <w:t>e.g.</w:t>
      </w:r>
      <w:r w:rsidRPr="00CD66DA">
        <w:t xml:space="preserve">, event-like non-event days that are treated as event days in estimation), to test </w:t>
      </w:r>
      <w:r w:rsidR="000D2492">
        <w:t>whether any</w:t>
      </w:r>
      <w:r w:rsidRPr="00CD66DA">
        <w:t xml:space="preserve"> </w:t>
      </w:r>
      <w:r w:rsidR="002961ED">
        <w:t>“</w:t>
      </w:r>
      <w:r w:rsidRPr="00CD66DA">
        <w:t>event</w:t>
      </w:r>
      <w:r w:rsidR="002961ED">
        <w:t>”</w:t>
      </w:r>
      <w:r w:rsidRPr="00CD66DA">
        <w:t xml:space="preserve"> coefficients demonstrate statistically significant bias, as opposed to expected non-significance, since customers have no reason to modify usage on days that are not actual events. This </w:t>
      </w:r>
      <w:r w:rsidR="000D2492">
        <w:t xml:space="preserve">test </w:t>
      </w:r>
      <w:r w:rsidRPr="00CD66DA">
        <w:t xml:space="preserve">is an extension of the previous test. The same test days are used, with a set of hourly </w:t>
      </w:r>
      <w:r w:rsidR="002961ED">
        <w:t>“</w:t>
      </w:r>
      <w:r w:rsidRPr="00CD66DA">
        <w:t>synthetic</w:t>
      </w:r>
      <w:r w:rsidR="002961ED">
        <w:t>”</w:t>
      </w:r>
      <w:r w:rsidRPr="00CD66DA">
        <w:t xml:space="preserve"> event variables included in </w:t>
      </w:r>
      <w:r w:rsidRPr="00CD66DA">
        <w:lastRenderedPageBreak/>
        <w:t>addition to the rest of the specification to test whether non-zero load impacts are estimated for these days. A successful test involves synthetic event load impact coefficients that are not statistically significantly different from zero.</w:t>
      </w:r>
    </w:p>
    <w:p w:rsidR="00B30565" w:rsidRPr="00CD66DA" w:rsidRDefault="00A44BB8" w:rsidP="00B30565">
      <w:pPr>
        <w:pStyle w:val="Heading3"/>
      </w:pPr>
      <w:bookmarkStart w:id="312" w:name="_Toc347130358"/>
      <w:bookmarkStart w:id="313" w:name="_Toc415231814"/>
      <w:r>
        <w:t>8</w:t>
      </w:r>
      <w:r w:rsidR="00B30565" w:rsidRPr="00CD66DA">
        <w:t>.1.1 Selection of Event-Like Non-Event Days</w:t>
      </w:r>
      <w:bookmarkEnd w:id="312"/>
      <w:bookmarkEnd w:id="313"/>
    </w:p>
    <w:p w:rsidR="00B30565" w:rsidRPr="00CD66DA" w:rsidRDefault="00B30565" w:rsidP="00B30565">
      <w:r w:rsidRPr="00CD66DA">
        <w:t xml:space="preserve">In order to select event-like non-event days, we create an average weather profile using the load-weighted average across customers, each of which is associated with a weather station. We </w:t>
      </w:r>
      <w:r w:rsidR="002961ED">
        <w:t>“</w:t>
      </w:r>
      <w:r w:rsidRPr="00CD66DA">
        <w:t>score</w:t>
      </w:r>
      <w:r w:rsidR="002961ED">
        <w:t>”</w:t>
      </w:r>
      <w:r w:rsidRPr="00CD66DA">
        <w:t xml:space="preserve"> each non-holiday weekday by comparing the dry-bulb temperature and relative humidity to the values for each event day. For example, we calculate the following statistic for each day relative to the first day: abs(</w:t>
      </w:r>
      <w:r w:rsidRPr="00CD66DA">
        <w:rPr>
          <w:i/>
        </w:rPr>
        <w:t>Temp</w:t>
      </w:r>
      <w:r w:rsidRPr="00CD66DA">
        <w:rPr>
          <w:i/>
          <w:vertAlign w:val="subscript"/>
        </w:rPr>
        <w:t>t</w:t>
      </w:r>
      <w:r w:rsidRPr="00CD66DA">
        <w:t xml:space="preserve"> – </w:t>
      </w:r>
      <w:r w:rsidRPr="00CD66DA">
        <w:rPr>
          <w:i/>
        </w:rPr>
        <w:t>Temp</w:t>
      </w:r>
      <w:r w:rsidRPr="00CD66DA">
        <w:rPr>
          <w:i/>
          <w:vertAlign w:val="subscript"/>
        </w:rPr>
        <w:t>Evt</w:t>
      </w:r>
      <w:r w:rsidRPr="00CD66DA">
        <w:t>) / StdDev(</w:t>
      </w:r>
      <w:r w:rsidRPr="00CD66DA">
        <w:rPr>
          <w:i/>
        </w:rPr>
        <w:t>Temp</w:t>
      </w:r>
      <w:r w:rsidRPr="00CD66DA">
        <w:t xml:space="preserve">). A similar score </w:t>
      </w:r>
      <w:r w:rsidR="00E76ACE">
        <w:t>i</w:t>
      </w:r>
      <w:r w:rsidRPr="00CD66DA">
        <w:t xml:space="preserve">s calculated for the relative humidity, and the sum of the temperature and humidity scores </w:t>
      </w:r>
      <w:r w:rsidR="00E76ACE">
        <w:t>i</w:t>
      </w:r>
      <w:r w:rsidRPr="00CD66DA">
        <w:t>s used to rank the days. We selected the five lowest-scoring days (low scores indicate greater similarity to the event day) for each event day. Days were excluded from the list as necessary (</w:t>
      </w:r>
      <w:r w:rsidR="00ED0F45" w:rsidRPr="00ED0F45">
        <w:rPr>
          <w:i/>
        </w:rPr>
        <w:t>e.g.</w:t>
      </w:r>
      <w:r w:rsidRPr="00CD66DA">
        <w:t xml:space="preserve">, to exclude </w:t>
      </w:r>
      <w:r>
        <w:t xml:space="preserve">other </w:t>
      </w:r>
      <w:r w:rsidRPr="00CD66DA">
        <w:t>event days).</w:t>
      </w:r>
    </w:p>
    <w:p w:rsidR="00B30565" w:rsidRPr="00CD66DA" w:rsidRDefault="00B30565" w:rsidP="00B30565"/>
    <w:p w:rsidR="00B30565" w:rsidRDefault="00B30565" w:rsidP="00B30565">
      <w:pPr>
        <w:pStyle w:val="TableCaption"/>
      </w:pPr>
      <w:bookmarkStart w:id="314" w:name="_Toc347130390"/>
      <w:bookmarkStart w:id="315" w:name="_Toc414545933"/>
      <w:r w:rsidRPr="00CD66DA">
        <w:t xml:space="preserve">Table </w:t>
      </w:r>
      <w:r w:rsidR="00A44BB8">
        <w:t>8</w:t>
      </w:r>
      <w:r w:rsidR="002961ED">
        <w:t>–</w:t>
      </w:r>
      <w:r>
        <w:t>2</w:t>
      </w:r>
      <w:r w:rsidRPr="00CD66DA">
        <w:t>: List of Event-Like Non-Event Days by Program</w:t>
      </w:r>
      <w:bookmarkEnd w:id="314"/>
      <w:bookmarkEnd w:id="315"/>
    </w:p>
    <w:p w:rsidR="00EC6653" w:rsidRPr="00CD66DA" w:rsidRDefault="007C13B8" w:rsidP="00EC6653">
      <w:pPr>
        <w:jc w:val="center"/>
      </w:pPr>
      <w:r w:rsidRPr="007C13B8">
        <w:rPr>
          <w:noProof/>
        </w:rPr>
        <w:drawing>
          <wp:inline distT="0" distB="0" distL="0" distR="0">
            <wp:extent cx="3733800" cy="3486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733800" cy="3486150"/>
                    </a:xfrm>
                    <a:prstGeom prst="rect">
                      <a:avLst/>
                    </a:prstGeom>
                    <a:noFill/>
                    <a:ln>
                      <a:noFill/>
                    </a:ln>
                  </pic:spPr>
                </pic:pic>
              </a:graphicData>
            </a:graphic>
          </wp:inline>
        </w:drawing>
      </w:r>
    </w:p>
    <w:p w:rsidR="00B30565" w:rsidRPr="00CD66DA" w:rsidRDefault="00A44BB8" w:rsidP="00B30565">
      <w:pPr>
        <w:pStyle w:val="Heading3"/>
      </w:pPr>
      <w:bookmarkStart w:id="316" w:name="_Toc347130359"/>
      <w:bookmarkStart w:id="317" w:name="_Toc415231815"/>
      <w:r>
        <w:t>8</w:t>
      </w:r>
      <w:r w:rsidR="00B30565" w:rsidRPr="00CD66DA">
        <w:t>.1.2 Results from Tests of Alternative Weather Specifications</w:t>
      </w:r>
      <w:bookmarkEnd w:id="316"/>
      <w:bookmarkEnd w:id="317"/>
    </w:p>
    <w:p w:rsidR="00B30565" w:rsidRPr="00CD66DA" w:rsidRDefault="00B30565" w:rsidP="00B30565">
      <w:r w:rsidRPr="00CD66DA">
        <w:t>For each utility</w:t>
      </w:r>
      <w:r w:rsidR="00A44BB8">
        <w:t>,</w:t>
      </w:r>
      <w:r>
        <w:t xml:space="preserve"> program</w:t>
      </w:r>
      <w:r w:rsidRPr="00CD66DA">
        <w:t xml:space="preserve">, </w:t>
      </w:r>
      <w:r w:rsidR="00A44BB8">
        <w:t xml:space="preserve">and notice type, </w:t>
      </w:r>
      <w:r w:rsidRPr="00CD66DA">
        <w:t xml:space="preserve">we tested </w:t>
      </w:r>
      <w:r w:rsidR="00A44BB8">
        <w:t>18</w:t>
      </w:r>
      <w:r w:rsidRPr="00CD66DA">
        <w:t xml:space="preserve"> specifications. The aggregate load used in conducting these tests was constructed separately for each utility</w:t>
      </w:r>
      <w:r>
        <w:t>/program</w:t>
      </w:r>
      <w:r w:rsidR="00A44BB8">
        <w:t>/notice-type</w:t>
      </w:r>
      <w:r w:rsidRPr="00CD66DA">
        <w:t xml:space="preserve"> and included only </w:t>
      </w:r>
      <w:r>
        <w:t>nominated service accounts</w:t>
      </w:r>
      <w:r w:rsidRPr="00CD66DA">
        <w:t>.</w:t>
      </w:r>
    </w:p>
    <w:p w:rsidR="00B30565" w:rsidRPr="00CD66DA" w:rsidRDefault="00B30565" w:rsidP="00B30565"/>
    <w:p w:rsidR="00B30565" w:rsidRPr="00CD66DA" w:rsidRDefault="00B30565" w:rsidP="00B30565">
      <w:r w:rsidRPr="00CD66DA">
        <w:t xml:space="preserve">The tests are conducted by estimating </w:t>
      </w:r>
      <w:r w:rsidRPr="00225D64">
        <w:t>one model for every utility/program</w:t>
      </w:r>
      <w:r w:rsidR="00D15D9D">
        <w:t>/notice</w:t>
      </w:r>
      <w:r w:rsidRPr="00225D64">
        <w:t xml:space="preserve"> (</w:t>
      </w:r>
      <w:r w:rsidR="00D15D9D">
        <w:t>10</w:t>
      </w:r>
      <w:r w:rsidRPr="00225D64">
        <w:t>),</w:t>
      </w:r>
      <w:r w:rsidRPr="00CD66DA">
        <w:t xml:space="preserve"> specification (</w:t>
      </w:r>
      <w:r w:rsidR="00A44BB8">
        <w:t>18</w:t>
      </w:r>
      <w:r w:rsidRPr="00CD66DA">
        <w:t>), and event-like day (</w:t>
      </w:r>
      <w:r w:rsidR="00D15D9D">
        <w:t>1</w:t>
      </w:r>
      <w:r w:rsidR="007C13B8">
        <w:t>0</w:t>
      </w:r>
      <w:r w:rsidR="00D15D9D">
        <w:t xml:space="preserve"> </w:t>
      </w:r>
      <w:r w:rsidRPr="00CD66DA">
        <w:t xml:space="preserve">for PG&amp;E </w:t>
      </w:r>
      <w:r w:rsidR="00D15D9D">
        <w:t xml:space="preserve">AMP and CBP, </w:t>
      </w:r>
      <w:r w:rsidR="007C13B8">
        <w:t>14</w:t>
      </w:r>
      <w:r w:rsidR="00D15D9D">
        <w:t xml:space="preserve"> for </w:t>
      </w:r>
      <w:r w:rsidRPr="00CD66DA">
        <w:t>SDG&amp;E</w:t>
      </w:r>
      <w:r w:rsidR="00D15D9D">
        <w:t xml:space="preserve"> C</w:t>
      </w:r>
      <w:r w:rsidR="007C13B8">
        <w:t>B</w:t>
      </w:r>
      <w:r w:rsidR="00D15D9D">
        <w:t>P</w:t>
      </w:r>
      <w:r>
        <w:t>,</w:t>
      </w:r>
      <w:r w:rsidRPr="00CD66DA">
        <w:t xml:space="preserve"> </w:t>
      </w:r>
      <w:r w:rsidR="007C13B8">
        <w:t xml:space="preserve">and 16 </w:t>
      </w:r>
      <w:r w:rsidRPr="00CD66DA">
        <w:t>for SCE</w:t>
      </w:r>
      <w:r>
        <w:t xml:space="preserve"> </w:t>
      </w:r>
      <w:r w:rsidR="00D15D9D">
        <w:t>AMP</w:t>
      </w:r>
      <w:r>
        <w:t xml:space="preserve"> and CBP</w:t>
      </w:r>
      <w:r w:rsidRPr="00CD66DA">
        <w:t xml:space="preserve">). Each model excludes one event-like day from the estimation </w:t>
      </w:r>
      <w:r w:rsidRPr="00CD66DA">
        <w:lastRenderedPageBreak/>
        <w:t>model and uses the estimated parameters to predict the usage for that day. The MPE and MAPE are calculated across the event windows of the withheld days.</w:t>
      </w:r>
    </w:p>
    <w:p w:rsidR="00B30565" w:rsidRPr="00CD66DA" w:rsidRDefault="00B30565" w:rsidP="00B30565"/>
    <w:p w:rsidR="00B30565" w:rsidRPr="00CD66DA" w:rsidRDefault="00B30565" w:rsidP="00B24FF9">
      <w:pPr>
        <w:rPr>
          <w:rFonts w:cs="Arial"/>
          <w:sz w:val="20"/>
          <w:szCs w:val="20"/>
        </w:rPr>
      </w:pPr>
      <w:r w:rsidRPr="00CD66DA">
        <w:t xml:space="preserve">Table </w:t>
      </w:r>
      <w:r w:rsidR="00A44BB8">
        <w:t>8</w:t>
      </w:r>
      <w:r w:rsidR="002961ED">
        <w:t>–</w:t>
      </w:r>
      <w:r>
        <w:t>3</w:t>
      </w:r>
      <w:r w:rsidRPr="00CD66DA">
        <w:t xml:space="preserve"> show</w:t>
      </w:r>
      <w:r>
        <w:t>s</w:t>
      </w:r>
      <w:r w:rsidRPr="00CD66DA">
        <w:t xml:space="preserve"> the adjusted R-squared, mean percentage error (MPE), and mean absolute percentage error (MAPE) for </w:t>
      </w:r>
      <w:r>
        <w:t>the selected (</w:t>
      </w:r>
      <w:r w:rsidR="002961ED">
        <w:t>“</w:t>
      </w:r>
      <w:r>
        <w:t>winning</w:t>
      </w:r>
      <w:r w:rsidR="002961ED">
        <w:t>”</w:t>
      </w:r>
      <w:r>
        <w:t xml:space="preserve">) </w:t>
      </w:r>
      <w:r w:rsidRPr="00CD66DA">
        <w:t>specification</w:t>
      </w:r>
      <w:r>
        <w:t xml:space="preserve"> for each utility and program</w:t>
      </w:r>
      <w:r w:rsidRPr="00CD66DA">
        <w:t xml:space="preserve">. </w:t>
      </w:r>
      <w:r w:rsidR="00D15D9D">
        <w:t>T</w:t>
      </w:r>
      <w:r>
        <w:t xml:space="preserve">he </w:t>
      </w:r>
      <w:r w:rsidR="00D15D9D">
        <w:t xml:space="preserve">adjusted R-squared values </w:t>
      </w:r>
      <w:r w:rsidR="00B24FF9">
        <w:t>are generally close to 0.90 or greater</w:t>
      </w:r>
      <w:r w:rsidR="00D15D9D">
        <w:t xml:space="preserve">. </w:t>
      </w:r>
      <w:r>
        <w:t xml:space="preserve">MPE </w:t>
      </w:r>
      <w:r w:rsidR="00D15D9D">
        <w:t xml:space="preserve">values show biases of less than </w:t>
      </w:r>
      <w:r w:rsidR="00B24FF9">
        <w:t>2</w:t>
      </w:r>
      <w:r w:rsidR="007A7052">
        <w:t xml:space="preserve"> percent</w:t>
      </w:r>
      <w:r w:rsidR="00A4579A">
        <w:t xml:space="preserve">. </w:t>
      </w:r>
      <w:r>
        <w:t xml:space="preserve">MAPE </w:t>
      </w:r>
      <w:r w:rsidR="00A4579A">
        <w:t>values range</w:t>
      </w:r>
      <w:r>
        <w:t xml:space="preserve"> from 1.</w:t>
      </w:r>
      <w:r w:rsidR="00B24FF9">
        <w:t>3</w:t>
      </w:r>
      <w:r>
        <w:t xml:space="preserve"> to </w:t>
      </w:r>
      <w:r w:rsidR="00A4579A">
        <w:t>6</w:t>
      </w:r>
      <w:r w:rsidR="00B24FF9">
        <w:t>.6</w:t>
      </w:r>
      <w:r w:rsidR="00A4579A">
        <w:t xml:space="preserve"> percent, with the equations for DO programs generally more accurate than those for the DA programs. </w:t>
      </w:r>
    </w:p>
    <w:p w:rsidR="00B30565" w:rsidRDefault="00B30565" w:rsidP="00B30565"/>
    <w:p w:rsidR="00B30565" w:rsidRPr="00CD66DA" w:rsidRDefault="00B30565" w:rsidP="00B30565">
      <w:pPr>
        <w:pStyle w:val="TableCaption"/>
        <w:keepLines/>
      </w:pPr>
      <w:bookmarkStart w:id="318" w:name="_Toc347130391"/>
      <w:bookmarkStart w:id="319" w:name="_Toc414545934"/>
      <w:r w:rsidRPr="00CD66DA">
        <w:t xml:space="preserve">Table </w:t>
      </w:r>
      <w:r w:rsidR="00D15D9D">
        <w:t>8</w:t>
      </w:r>
      <w:r w:rsidR="002961ED">
        <w:t>–</w:t>
      </w:r>
      <w:r>
        <w:t>3</w:t>
      </w:r>
      <w:r w:rsidRPr="00CD66DA">
        <w:t>: Specification Test Results</w:t>
      </w:r>
      <w:r>
        <w:t xml:space="preserve"> for the </w:t>
      </w:r>
      <w:r w:rsidR="002961ED">
        <w:t>“</w:t>
      </w:r>
      <w:r>
        <w:t>Winning</w:t>
      </w:r>
      <w:r w:rsidR="002961ED">
        <w:t>”</w:t>
      </w:r>
      <w:r>
        <w:t xml:space="preserve"> Model</w:t>
      </w:r>
      <w:bookmarkEnd w:id="318"/>
      <w:bookmarkEnd w:id="319"/>
    </w:p>
    <w:p w:rsidR="00B30565" w:rsidRPr="00CD66DA" w:rsidRDefault="00B24FF9" w:rsidP="00B3077C">
      <w:pPr>
        <w:jc w:val="center"/>
      </w:pPr>
      <w:r w:rsidRPr="00B24FF9">
        <w:rPr>
          <w:noProof/>
        </w:rPr>
        <w:drawing>
          <wp:inline distT="0" distB="0" distL="0" distR="0">
            <wp:extent cx="4476750" cy="2200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476750" cy="2200275"/>
                    </a:xfrm>
                    <a:prstGeom prst="rect">
                      <a:avLst/>
                    </a:prstGeom>
                    <a:noFill/>
                    <a:ln>
                      <a:noFill/>
                    </a:ln>
                  </pic:spPr>
                </pic:pic>
              </a:graphicData>
            </a:graphic>
          </wp:inline>
        </w:drawing>
      </w:r>
    </w:p>
    <w:p w:rsidR="00B8306A" w:rsidRDefault="00B8306A" w:rsidP="00B30565"/>
    <w:p w:rsidR="00B30565" w:rsidRPr="00CD66DA" w:rsidRDefault="00B30565" w:rsidP="00B30565">
      <w:r w:rsidRPr="00CD66DA">
        <w:t>For each specification, we estimated a single model that included all of the days (</w:t>
      </w:r>
      <w:r w:rsidR="00ED0F45" w:rsidRPr="00ED0F45">
        <w:rPr>
          <w:i/>
        </w:rPr>
        <w:t>i.e.</w:t>
      </w:r>
      <w:r w:rsidRPr="00CD66DA">
        <w:t>, not withholding any event-like days), but using a single set of actual event variables (</w:t>
      </w:r>
      <w:r w:rsidR="00ED0F45" w:rsidRPr="00ED0F45">
        <w:rPr>
          <w:i/>
        </w:rPr>
        <w:t>i.e.</w:t>
      </w:r>
      <w:r w:rsidRPr="00CD66DA">
        <w:t xml:space="preserve">, a 24-hour profile of the average event-day load impacts). The results of these tests </w:t>
      </w:r>
      <w:r>
        <w:t xml:space="preserve">reinforced the conclusion </w:t>
      </w:r>
      <w:r w:rsidRPr="00CD66DA">
        <w:t xml:space="preserve">that very little is at stake when selecting from the specifications, as the </w:t>
      </w:r>
      <w:r w:rsidR="005C7A57">
        <w:t>average event-hour</w:t>
      </w:r>
      <w:r>
        <w:t xml:space="preserve"> </w:t>
      </w:r>
      <w:r w:rsidRPr="00CD66DA">
        <w:t>load impact prof</w:t>
      </w:r>
      <w:r>
        <w:t>ile was quite stable across models</w:t>
      </w:r>
      <w:r w:rsidRPr="00CD66DA">
        <w:t xml:space="preserve">. </w:t>
      </w:r>
    </w:p>
    <w:p w:rsidR="00B30565" w:rsidRPr="00CD66DA" w:rsidRDefault="00B30565" w:rsidP="00B30565"/>
    <w:p w:rsidR="00B30565" w:rsidRPr="00CD66DA" w:rsidRDefault="00B30565" w:rsidP="00B30565">
      <w:r w:rsidRPr="00CD66DA">
        <w:t xml:space="preserve">Figures </w:t>
      </w:r>
      <w:r w:rsidR="00102D5A">
        <w:t>8</w:t>
      </w:r>
      <w:r w:rsidR="002961ED">
        <w:t>–</w:t>
      </w:r>
      <w:r w:rsidRPr="00CD66DA">
        <w:t xml:space="preserve">1 through </w:t>
      </w:r>
      <w:r w:rsidR="00102D5A">
        <w:t>8</w:t>
      </w:r>
      <w:r w:rsidR="002961ED">
        <w:t>–</w:t>
      </w:r>
      <w:r>
        <w:t>5</w:t>
      </w:r>
      <w:r w:rsidRPr="00CD66DA">
        <w:t xml:space="preserve"> </w:t>
      </w:r>
      <w:r w:rsidR="00283CEF">
        <w:t xml:space="preserve">illustrate </w:t>
      </w:r>
      <w:r w:rsidRPr="00CD66DA">
        <w:t xml:space="preserve">the </w:t>
      </w:r>
      <w:r w:rsidR="00283CEF">
        <w:t xml:space="preserve">results of these </w:t>
      </w:r>
      <w:r w:rsidRPr="00CD66DA">
        <w:t>estimat</w:t>
      </w:r>
      <w:r w:rsidR="00283CEF">
        <w:t xml:space="preserve">ions of </w:t>
      </w:r>
      <w:r w:rsidRPr="00CD66DA">
        <w:t xml:space="preserve">hourly load impacts for </w:t>
      </w:r>
      <w:r w:rsidR="00283CEF">
        <w:t xml:space="preserve">the average event, for </w:t>
      </w:r>
      <w:r w:rsidRPr="00CD66DA">
        <w:t>each of the 18 model</w:t>
      </w:r>
      <w:r w:rsidR="00EC1575">
        <w:t xml:space="preserve"> </w:t>
      </w:r>
      <w:r w:rsidRPr="00CD66DA">
        <w:t>s</w:t>
      </w:r>
      <w:r w:rsidR="00EC1575">
        <w:t>pecifications</w:t>
      </w:r>
      <w:r w:rsidR="00B24FF9">
        <w:t>, for the DO products, which generally have larger numbers of nominated customers</w:t>
      </w:r>
      <w:r w:rsidRPr="00CD66DA">
        <w:t xml:space="preserve">. </w:t>
      </w:r>
      <w:r>
        <w:t xml:space="preserve">The </w:t>
      </w:r>
      <w:r w:rsidR="00955A26">
        <w:t xml:space="preserve">estimates for the </w:t>
      </w:r>
      <w:r>
        <w:t xml:space="preserve">selected specification </w:t>
      </w:r>
      <w:r w:rsidR="00955A26">
        <w:t>are</w:t>
      </w:r>
      <w:r>
        <w:t xml:space="preserve"> highlighted in bold</w:t>
      </w:r>
      <w:r w:rsidR="00955A26">
        <w:t xml:space="preserve"> dashed lines</w:t>
      </w:r>
      <w:r>
        <w:t>.</w:t>
      </w:r>
      <w:r w:rsidRPr="00CD66DA">
        <w:t xml:space="preserve"> As the figures show, the </w:t>
      </w:r>
      <w:r w:rsidR="00EE5A4E">
        <w:t xml:space="preserve">estimated </w:t>
      </w:r>
      <w:r w:rsidRPr="00CD66DA">
        <w:t xml:space="preserve">load impacts </w:t>
      </w:r>
      <w:r w:rsidR="00EC1575">
        <w:t xml:space="preserve">are </w:t>
      </w:r>
      <w:r w:rsidR="00BE2109">
        <w:t>not highly sensitive to</w:t>
      </w:r>
      <w:r w:rsidR="00EE5A4E">
        <w:t xml:space="preserve"> the choice of </w:t>
      </w:r>
      <w:r w:rsidRPr="00CD66DA">
        <w:t>weather specification.</w:t>
      </w:r>
    </w:p>
    <w:p w:rsidR="00B30565" w:rsidRPr="00CD66DA" w:rsidRDefault="00B30565" w:rsidP="00B30565"/>
    <w:p w:rsidR="00B30565" w:rsidRPr="00CD66DA" w:rsidRDefault="00B30565" w:rsidP="00B30565">
      <w:pPr>
        <w:pStyle w:val="FigureCaption"/>
        <w:keepLines/>
      </w:pPr>
      <w:bookmarkStart w:id="320" w:name="_Toc347130403"/>
      <w:bookmarkStart w:id="321" w:name="_Toc412549208"/>
      <w:r w:rsidRPr="00CD66DA">
        <w:lastRenderedPageBreak/>
        <w:t xml:space="preserve">Figure </w:t>
      </w:r>
      <w:r w:rsidR="00A44BB8">
        <w:t>8</w:t>
      </w:r>
      <w:r w:rsidR="002961ED">
        <w:t>–</w:t>
      </w:r>
      <w:r w:rsidRPr="00CD66DA">
        <w:t xml:space="preserve">1: Average Event-Hour Load Impacts by Specification, </w:t>
      </w:r>
      <w:r w:rsidRPr="00CD66DA">
        <w:rPr>
          <w:i/>
        </w:rPr>
        <w:t xml:space="preserve">PG&amp;E </w:t>
      </w:r>
      <w:r>
        <w:rPr>
          <w:i/>
        </w:rPr>
        <w:t>AMP</w:t>
      </w:r>
      <w:bookmarkEnd w:id="320"/>
      <w:r w:rsidR="00955A26">
        <w:rPr>
          <w:i/>
        </w:rPr>
        <w:t xml:space="preserve"> DO</w:t>
      </w:r>
      <w:bookmarkEnd w:id="321"/>
    </w:p>
    <w:p w:rsidR="00B30565" w:rsidRPr="00D75C1F" w:rsidRDefault="00BF0DC3" w:rsidP="00B8306A">
      <w:pPr>
        <w:keepNext/>
        <w:keepLines/>
        <w:jc w:val="center"/>
      </w:pPr>
      <w:r w:rsidRPr="00BF0DC3">
        <w:rPr>
          <w:noProof/>
        </w:rPr>
        <w:drawing>
          <wp:inline distT="0" distB="0" distL="0" distR="0">
            <wp:extent cx="4965192" cy="3593592"/>
            <wp:effectExtent l="0" t="0" r="6985"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965192" cy="3593592"/>
                    </a:xfrm>
                    <a:prstGeom prst="rect">
                      <a:avLst/>
                    </a:prstGeom>
                    <a:noFill/>
                    <a:ln>
                      <a:noFill/>
                    </a:ln>
                  </pic:spPr>
                </pic:pic>
              </a:graphicData>
            </a:graphic>
          </wp:inline>
        </w:drawing>
      </w:r>
    </w:p>
    <w:p w:rsidR="00955A26" w:rsidRDefault="00955A26" w:rsidP="00955A26">
      <w:pPr>
        <w:pStyle w:val="FigureCaption"/>
        <w:keepNext w:val="0"/>
      </w:pPr>
      <w:bookmarkStart w:id="322" w:name="_Toc347130404"/>
    </w:p>
    <w:p w:rsidR="00B30565" w:rsidRPr="00CD66DA" w:rsidRDefault="00B30565" w:rsidP="00451367">
      <w:pPr>
        <w:pStyle w:val="FigureCaption"/>
      </w:pPr>
      <w:bookmarkStart w:id="323" w:name="_Toc412549209"/>
      <w:r w:rsidRPr="00CD66DA">
        <w:t xml:space="preserve">Figure </w:t>
      </w:r>
      <w:r w:rsidR="00A44BB8">
        <w:t>8</w:t>
      </w:r>
      <w:r w:rsidR="002961ED">
        <w:t>–</w:t>
      </w:r>
      <w:r w:rsidRPr="00CD66DA">
        <w:t xml:space="preserve">2: Average Event-Hour Load Impacts by Specification, </w:t>
      </w:r>
      <w:r>
        <w:rPr>
          <w:i/>
        </w:rPr>
        <w:t>PG&amp;E CBP</w:t>
      </w:r>
      <w:bookmarkEnd w:id="322"/>
      <w:r w:rsidR="00451367">
        <w:rPr>
          <w:i/>
        </w:rPr>
        <w:t xml:space="preserve"> DO</w:t>
      </w:r>
      <w:bookmarkEnd w:id="323"/>
    </w:p>
    <w:p w:rsidR="00B30565" w:rsidRPr="00D75C1F" w:rsidRDefault="00E6097C" w:rsidP="00B8306A">
      <w:pPr>
        <w:keepNext/>
        <w:jc w:val="center"/>
      </w:pPr>
      <w:r w:rsidRPr="00E6097C">
        <w:rPr>
          <w:noProof/>
        </w:rPr>
        <w:drawing>
          <wp:inline distT="0" distB="0" distL="0" distR="0">
            <wp:extent cx="5047488" cy="365760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5047488" cy="3657600"/>
                    </a:xfrm>
                    <a:prstGeom prst="rect">
                      <a:avLst/>
                    </a:prstGeom>
                    <a:noFill/>
                    <a:ln>
                      <a:noFill/>
                    </a:ln>
                  </pic:spPr>
                </pic:pic>
              </a:graphicData>
            </a:graphic>
          </wp:inline>
        </w:drawing>
      </w:r>
    </w:p>
    <w:p w:rsidR="00B30565" w:rsidRDefault="00B30565" w:rsidP="00B30565"/>
    <w:p w:rsidR="00B3077C" w:rsidRPr="00CD66DA" w:rsidRDefault="00B3077C" w:rsidP="00B30565"/>
    <w:p w:rsidR="00B30565" w:rsidRPr="00CD66DA" w:rsidRDefault="00B30565" w:rsidP="00B3077C">
      <w:pPr>
        <w:pStyle w:val="FigureCaption"/>
      </w:pPr>
      <w:bookmarkStart w:id="324" w:name="_Toc347130405"/>
      <w:bookmarkStart w:id="325" w:name="_Toc412549210"/>
      <w:r w:rsidRPr="00CD66DA">
        <w:t xml:space="preserve">Figure </w:t>
      </w:r>
      <w:r w:rsidR="00A44BB8">
        <w:t>8</w:t>
      </w:r>
      <w:r w:rsidR="002961ED">
        <w:t>–</w:t>
      </w:r>
      <w:r w:rsidRPr="00CD66DA">
        <w:t xml:space="preserve">3: Average Event-Hour Load Impacts by Specification, </w:t>
      </w:r>
      <w:r w:rsidRPr="00CD66DA">
        <w:rPr>
          <w:i/>
        </w:rPr>
        <w:t>S</w:t>
      </w:r>
      <w:r>
        <w:rPr>
          <w:i/>
        </w:rPr>
        <w:t xml:space="preserve">CE </w:t>
      </w:r>
      <w:bookmarkEnd w:id="324"/>
      <w:r w:rsidR="00955A26">
        <w:rPr>
          <w:i/>
        </w:rPr>
        <w:t>AMP</w:t>
      </w:r>
      <w:r w:rsidR="00B3077C">
        <w:rPr>
          <w:i/>
        </w:rPr>
        <w:t xml:space="preserve"> DO</w:t>
      </w:r>
      <w:bookmarkEnd w:id="325"/>
    </w:p>
    <w:p w:rsidR="00B30565" w:rsidRDefault="00D16F93" w:rsidP="00B3077C">
      <w:pPr>
        <w:jc w:val="center"/>
      </w:pPr>
      <w:r w:rsidRPr="00D16F93">
        <w:rPr>
          <w:noProof/>
        </w:rPr>
        <w:drawing>
          <wp:inline distT="0" distB="0" distL="0" distR="0">
            <wp:extent cx="4974336" cy="360273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974336" cy="3602736"/>
                    </a:xfrm>
                    <a:prstGeom prst="rect">
                      <a:avLst/>
                    </a:prstGeom>
                    <a:noFill/>
                    <a:ln>
                      <a:noFill/>
                    </a:ln>
                  </pic:spPr>
                </pic:pic>
              </a:graphicData>
            </a:graphic>
          </wp:inline>
        </w:drawing>
      </w:r>
    </w:p>
    <w:p w:rsidR="00E6097C" w:rsidRPr="00D75C1F" w:rsidRDefault="00E6097C" w:rsidP="00B3077C">
      <w:pPr>
        <w:jc w:val="center"/>
      </w:pPr>
    </w:p>
    <w:p w:rsidR="00B30565" w:rsidRPr="00CD66DA" w:rsidRDefault="00B30565" w:rsidP="00B3077C">
      <w:pPr>
        <w:pStyle w:val="FigureCaption"/>
      </w:pPr>
      <w:bookmarkStart w:id="326" w:name="_Toc412549211"/>
      <w:bookmarkStart w:id="327" w:name="_Toc347130360"/>
      <w:r w:rsidRPr="00CD66DA">
        <w:t xml:space="preserve">Figure </w:t>
      </w:r>
      <w:r w:rsidR="00A44BB8">
        <w:t>8</w:t>
      </w:r>
      <w:r w:rsidR="002961ED">
        <w:t>–</w:t>
      </w:r>
      <w:r>
        <w:t>4</w:t>
      </w:r>
      <w:r w:rsidRPr="00CD66DA">
        <w:t xml:space="preserve">: Average Event-Hour Load Impacts by Specification, </w:t>
      </w:r>
      <w:r w:rsidRPr="00CD66DA">
        <w:rPr>
          <w:i/>
        </w:rPr>
        <w:t>S</w:t>
      </w:r>
      <w:r>
        <w:rPr>
          <w:i/>
        </w:rPr>
        <w:t>CE CBP</w:t>
      </w:r>
      <w:r w:rsidR="00B3077C">
        <w:rPr>
          <w:i/>
        </w:rPr>
        <w:t xml:space="preserve"> DO</w:t>
      </w:r>
      <w:bookmarkEnd w:id="326"/>
    </w:p>
    <w:p w:rsidR="00B30565" w:rsidRPr="00D75C1F" w:rsidRDefault="00E6097C" w:rsidP="00E6097C">
      <w:pPr>
        <w:jc w:val="center"/>
      </w:pPr>
      <w:r w:rsidRPr="00E6097C">
        <w:rPr>
          <w:noProof/>
        </w:rPr>
        <w:drawing>
          <wp:inline distT="0" distB="0" distL="0" distR="0">
            <wp:extent cx="4956048" cy="3593592"/>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4956048" cy="3593592"/>
                    </a:xfrm>
                    <a:prstGeom prst="rect">
                      <a:avLst/>
                    </a:prstGeom>
                    <a:noFill/>
                    <a:ln>
                      <a:noFill/>
                    </a:ln>
                  </pic:spPr>
                </pic:pic>
              </a:graphicData>
            </a:graphic>
          </wp:inline>
        </w:drawing>
      </w:r>
    </w:p>
    <w:p w:rsidR="00B30565" w:rsidRDefault="00B30565" w:rsidP="00B30565"/>
    <w:p w:rsidR="00B30565" w:rsidRPr="00CD66DA" w:rsidRDefault="00B30565" w:rsidP="00B30565">
      <w:pPr>
        <w:pStyle w:val="FigureCaption"/>
        <w:keepLines/>
      </w:pPr>
      <w:bookmarkStart w:id="328" w:name="_Toc412549212"/>
      <w:r w:rsidRPr="00CD66DA">
        <w:t xml:space="preserve">Figure </w:t>
      </w:r>
      <w:r w:rsidR="00A44BB8">
        <w:t>8</w:t>
      </w:r>
      <w:r w:rsidR="002961ED">
        <w:t>–</w:t>
      </w:r>
      <w:r>
        <w:t>5</w:t>
      </w:r>
      <w:r w:rsidRPr="00CD66DA">
        <w:t xml:space="preserve">: Average Event-Hour Load Impacts by Specification, </w:t>
      </w:r>
      <w:r w:rsidRPr="00CD66DA">
        <w:rPr>
          <w:i/>
        </w:rPr>
        <w:t>S</w:t>
      </w:r>
      <w:r>
        <w:rPr>
          <w:i/>
        </w:rPr>
        <w:t>DG&amp;E CBP</w:t>
      </w:r>
      <w:r w:rsidR="00292698">
        <w:rPr>
          <w:i/>
        </w:rPr>
        <w:t xml:space="preserve"> DO</w:t>
      </w:r>
      <w:bookmarkEnd w:id="328"/>
    </w:p>
    <w:p w:rsidR="00B30565" w:rsidRDefault="00BF0DC3" w:rsidP="00B30565">
      <w:r w:rsidRPr="00BF0DC3">
        <w:rPr>
          <w:noProof/>
        </w:rPr>
        <w:drawing>
          <wp:inline distT="0" distB="0" distL="0" distR="0">
            <wp:extent cx="5486400" cy="3973118"/>
            <wp:effectExtent l="0" t="0" r="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5486400" cy="3973118"/>
                    </a:xfrm>
                    <a:prstGeom prst="rect">
                      <a:avLst/>
                    </a:prstGeom>
                    <a:noFill/>
                    <a:ln>
                      <a:noFill/>
                    </a:ln>
                  </pic:spPr>
                </pic:pic>
              </a:graphicData>
            </a:graphic>
          </wp:inline>
        </w:drawing>
      </w:r>
    </w:p>
    <w:p w:rsidR="00B30565" w:rsidRPr="00CD66DA" w:rsidRDefault="00A44BB8" w:rsidP="00B30565">
      <w:pPr>
        <w:pStyle w:val="Heading3"/>
      </w:pPr>
      <w:bookmarkStart w:id="329" w:name="_Toc415231816"/>
      <w:r>
        <w:t>8</w:t>
      </w:r>
      <w:r w:rsidR="00B30565" w:rsidRPr="00CD66DA">
        <w:t>.1.3 Synthetic Event Day Tests</w:t>
      </w:r>
      <w:bookmarkEnd w:id="327"/>
      <w:bookmarkEnd w:id="329"/>
    </w:p>
    <w:p w:rsidR="00B30565" w:rsidRPr="00CD66DA" w:rsidRDefault="00B30565" w:rsidP="00B30565">
      <w:r w:rsidRPr="00CD66DA">
        <w:t xml:space="preserve">For the specification selected from the testing described in Section </w:t>
      </w:r>
      <w:r w:rsidR="00A44BB8">
        <w:t>8</w:t>
      </w:r>
      <w:r w:rsidRPr="00CD66DA">
        <w:t xml:space="preserve">.1.2, we conducted an additional test. The selected specification was estimated on the aggregate customer data, including a set of 24 hourly </w:t>
      </w:r>
      <w:r w:rsidR="002961ED">
        <w:t>“</w:t>
      </w:r>
      <w:r w:rsidRPr="00CD66DA">
        <w:t>synthetic</w:t>
      </w:r>
      <w:r w:rsidR="002961ED">
        <w:t>”</w:t>
      </w:r>
      <w:r w:rsidRPr="00CD66DA">
        <w:t xml:space="preserve"> event-day variables. These variables equaled one on the days listed in Table </w:t>
      </w:r>
      <w:r w:rsidR="00A44BB8">
        <w:t>8</w:t>
      </w:r>
      <w:r w:rsidR="002961ED">
        <w:t>–</w:t>
      </w:r>
      <w:r w:rsidRPr="00CD66DA">
        <w:t>1, with a separate estimate for each hour of the day.</w:t>
      </w:r>
    </w:p>
    <w:p w:rsidR="00B30565" w:rsidRPr="00CD66DA" w:rsidRDefault="00B30565" w:rsidP="00B30565"/>
    <w:p w:rsidR="00B30565" w:rsidRPr="00CD66DA" w:rsidRDefault="00BE2109" w:rsidP="00B30565">
      <w:r>
        <w:t>The objective of the test is determine whether</w:t>
      </w:r>
      <w:r w:rsidR="00B30565" w:rsidRPr="00CD66DA">
        <w:t xml:space="preserve"> the model produces synthetic event-day coefficients that are not statistically significantly different from zero</w:t>
      </w:r>
      <w:r>
        <w:t>. If that is the case</w:t>
      </w:r>
      <w:r w:rsidR="00B30565" w:rsidRPr="00CD66DA">
        <w:t xml:space="preserve">, </w:t>
      </w:r>
      <w:r>
        <w:t xml:space="preserve">then </w:t>
      </w:r>
      <w:r w:rsidR="00B30565" w:rsidRPr="00CD66DA">
        <w:t xml:space="preserve">the test provides added confidence that our actual event-day coefficients are not biased. That is, the absence of statistically significant results for the synthetic event days indicates that the remainder of the model is </w:t>
      </w:r>
      <w:r>
        <w:t xml:space="preserve">doing a good job of </w:t>
      </w:r>
      <w:r w:rsidR="00B30565" w:rsidRPr="00CD66DA">
        <w:t>explaining the loads on those days.</w:t>
      </w:r>
    </w:p>
    <w:p w:rsidR="00B30565" w:rsidRPr="00CD66DA" w:rsidRDefault="00B30565" w:rsidP="00B30565"/>
    <w:p w:rsidR="00BE2109" w:rsidRDefault="00B30565" w:rsidP="00B30565">
      <w:r w:rsidRPr="00CD66DA">
        <w:t xml:space="preserve">Table </w:t>
      </w:r>
      <w:r w:rsidR="00A44BB8">
        <w:t>8</w:t>
      </w:r>
      <w:r w:rsidR="002961ED">
        <w:t>–</w:t>
      </w:r>
      <w:r>
        <w:t>4</w:t>
      </w:r>
      <w:r w:rsidRPr="00CD66DA">
        <w:t xml:space="preserve"> presents the results of this test for each utility</w:t>
      </w:r>
      <w:r>
        <w:t>/program</w:t>
      </w:r>
      <w:r w:rsidR="00E744CA">
        <w:t>/notice model</w:t>
      </w:r>
      <w:r w:rsidRPr="00CD66DA">
        <w:t>, showing o</w:t>
      </w:r>
      <w:r>
        <w:t xml:space="preserve">nly the coefficients during a typical </w:t>
      </w:r>
      <w:r w:rsidRPr="00CD66DA">
        <w:t xml:space="preserve">event window </w:t>
      </w:r>
      <w:r>
        <w:t xml:space="preserve">of </w:t>
      </w:r>
      <w:r w:rsidRPr="00CD66DA">
        <w:t>hours-ending 1</w:t>
      </w:r>
      <w:r>
        <w:t>4</w:t>
      </w:r>
      <w:r w:rsidRPr="00CD66DA">
        <w:t xml:space="preserve"> through </w:t>
      </w:r>
      <w:r>
        <w:t>19.</w:t>
      </w:r>
      <w:r w:rsidRPr="00CD66DA">
        <w:t xml:space="preserve"> </w:t>
      </w:r>
      <w:r w:rsidR="00BE2109">
        <w:t>The coefficient values represent estimated load impacts on the synthetic event days (</w:t>
      </w:r>
      <w:r w:rsidR="00BE2109">
        <w:rPr>
          <w:i/>
        </w:rPr>
        <w:t>e.g.</w:t>
      </w:r>
      <w:r w:rsidR="00BE2109">
        <w:t xml:space="preserve">, a negative value represents an estimated load </w:t>
      </w:r>
      <w:r w:rsidR="00BE2109" w:rsidRPr="00BE2109">
        <w:t>reduction</w:t>
      </w:r>
      <w:r w:rsidR="00BE2109">
        <w:t xml:space="preserve">). </w:t>
      </w:r>
      <w:r w:rsidRPr="00CD66DA">
        <w:t xml:space="preserve">The values in </w:t>
      </w:r>
      <w:r w:rsidR="00E744CA" w:rsidRPr="00E744CA">
        <w:rPr>
          <w:i/>
        </w:rPr>
        <w:t>italics</w:t>
      </w:r>
      <w:r w:rsidRPr="00CD66DA">
        <w:t xml:space="preserve"> are p-values, or measures of statistical significance. A p-value </w:t>
      </w:r>
      <w:r>
        <w:t xml:space="preserve">that is </w:t>
      </w:r>
      <w:r w:rsidRPr="00CD66DA">
        <w:t xml:space="preserve">less than 0.05 indicates </w:t>
      </w:r>
      <w:r w:rsidRPr="00CD66DA">
        <w:lastRenderedPageBreak/>
        <w:t xml:space="preserve">that the estimated coefficient is statistically significantly different from zero with 95 percent confidence. </w:t>
      </w:r>
    </w:p>
    <w:p w:rsidR="00BE2109" w:rsidRDefault="00BE2109" w:rsidP="00B30565"/>
    <w:p w:rsidR="00B30565" w:rsidRPr="00CD66DA" w:rsidRDefault="00B30565" w:rsidP="00B30565">
      <w:r w:rsidRPr="00E744CA">
        <w:t xml:space="preserve">For </w:t>
      </w:r>
      <w:r w:rsidR="002F17F0">
        <w:t>most programs and notice types</w:t>
      </w:r>
      <w:r w:rsidRPr="00E744CA">
        <w:t xml:space="preserve">, the p-values are uniformly </w:t>
      </w:r>
      <w:r w:rsidR="00627BE0">
        <w:t>larg</w:t>
      </w:r>
      <w:r w:rsidRPr="00E744CA">
        <w:t xml:space="preserve">er than this standard, indicating that </w:t>
      </w:r>
      <w:r w:rsidR="002F17F0">
        <w:t xml:space="preserve">the </w:t>
      </w:r>
      <w:r w:rsidRPr="00E744CA">
        <w:t>model</w:t>
      </w:r>
      <w:r w:rsidR="002F17F0">
        <w:t>s</w:t>
      </w:r>
      <w:r w:rsidRPr="00E744CA">
        <w:t xml:space="preserve"> </w:t>
      </w:r>
      <w:r w:rsidR="002F17F0">
        <w:t>estimate</w:t>
      </w:r>
      <w:r w:rsidR="00BE2109">
        <w:t xml:space="preserve"> load impacts that are </w:t>
      </w:r>
      <w:r w:rsidR="00BE2109" w:rsidRPr="00BE2109">
        <w:rPr>
          <w:u w:val="single"/>
        </w:rPr>
        <w:t>not</w:t>
      </w:r>
      <w:r w:rsidR="00BE2109">
        <w:t xml:space="preserve"> </w:t>
      </w:r>
      <w:r w:rsidR="00E744CA" w:rsidRPr="00E744CA">
        <w:t xml:space="preserve">statistically significant </w:t>
      </w:r>
      <w:r w:rsidR="00BE2109">
        <w:t>from zero</w:t>
      </w:r>
      <w:r w:rsidR="00E744CA" w:rsidRPr="00E744CA">
        <w:t xml:space="preserve"> on non-event days</w:t>
      </w:r>
      <w:r w:rsidR="00BE2109">
        <w:t xml:space="preserve">, and thus </w:t>
      </w:r>
      <w:r w:rsidR="00BE2109" w:rsidRPr="00E744CA">
        <w:t>“pass” this test</w:t>
      </w:r>
      <w:r w:rsidRPr="00E744CA">
        <w:t>.</w:t>
      </w:r>
      <w:r w:rsidR="003F2745">
        <w:t xml:space="preserve"> For </w:t>
      </w:r>
      <w:r w:rsidR="002F17F0">
        <w:t xml:space="preserve">a few models, such as SCE CBP DO and AMP DA, and </w:t>
      </w:r>
      <w:r w:rsidR="003F2745">
        <w:t>SDG&amp;E CBP DO</w:t>
      </w:r>
      <w:r w:rsidR="003F2745" w:rsidRPr="00E744CA">
        <w:t xml:space="preserve">, </w:t>
      </w:r>
      <w:r w:rsidR="002F17F0">
        <w:t xml:space="preserve">some </w:t>
      </w:r>
      <w:r w:rsidR="003F2745">
        <w:t>hours of the period have estimated coefficients that</w:t>
      </w:r>
      <w:r w:rsidR="00795365">
        <w:t>, while small,</w:t>
      </w:r>
      <w:r w:rsidR="003F2745">
        <w:t xml:space="preserve"> are statistically significant. </w:t>
      </w:r>
      <w:r w:rsidR="002F17F0">
        <w:t xml:space="preserve">However, </w:t>
      </w:r>
      <w:r w:rsidR="003F2745">
        <w:t xml:space="preserve">as shown in </w:t>
      </w:r>
      <w:r w:rsidR="002F17F0">
        <w:t xml:space="preserve">the figures </w:t>
      </w:r>
      <w:r w:rsidR="00627BE0">
        <w:t>above</w:t>
      </w:r>
      <w:r w:rsidR="003F2745">
        <w:t xml:space="preserve">, </w:t>
      </w:r>
      <w:r w:rsidR="002F17F0">
        <w:t xml:space="preserve">the </w:t>
      </w:r>
      <w:r w:rsidR="003F2745">
        <w:t xml:space="preserve">estimated load impacts </w:t>
      </w:r>
      <w:r w:rsidR="004C36C8">
        <w:t xml:space="preserve">are </w:t>
      </w:r>
      <w:r w:rsidR="002F17F0">
        <w:t xml:space="preserve">generally </w:t>
      </w:r>
      <w:r w:rsidR="004C36C8">
        <w:t>consistent across all model specifications</w:t>
      </w:r>
      <w:r w:rsidR="00BE2109">
        <w:t>, and would not be improved by changing the model specification</w:t>
      </w:r>
      <w:r w:rsidR="004C36C8">
        <w:t>.</w:t>
      </w:r>
      <w:r w:rsidRPr="00E744CA">
        <w:t xml:space="preserve"> </w:t>
      </w:r>
    </w:p>
    <w:p w:rsidR="00B30565" w:rsidRPr="00CD66DA" w:rsidRDefault="00B30565" w:rsidP="00B30565"/>
    <w:p w:rsidR="00B30565" w:rsidRPr="00CD66DA" w:rsidRDefault="00B30565" w:rsidP="00B30565">
      <w:pPr>
        <w:pStyle w:val="TableCaption"/>
        <w:keepLines/>
      </w:pPr>
      <w:bookmarkStart w:id="330" w:name="_Toc347130394"/>
      <w:bookmarkStart w:id="331" w:name="_Toc414545935"/>
      <w:r w:rsidRPr="00E744CA">
        <w:t xml:space="preserve">Table </w:t>
      </w:r>
      <w:r w:rsidR="00A44BB8" w:rsidRPr="00E744CA">
        <w:t>8</w:t>
      </w:r>
      <w:r w:rsidR="002961ED" w:rsidRPr="00E744CA">
        <w:t>–</w:t>
      </w:r>
      <w:r w:rsidRPr="00E744CA">
        <w:t>4: Synthetic Event-Day Tests by Program</w:t>
      </w:r>
      <w:bookmarkEnd w:id="330"/>
      <w:bookmarkEnd w:id="331"/>
    </w:p>
    <w:p w:rsidR="00102D5A" w:rsidRDefault="002F17F0" w:rsidP="00B6618C">
      <w:pPr>
        <w:jc w:val="center"/>
      </w:pPr>
      <w:bookmarkStart w:id="332" w:name="_Toc314830419"/>
      <w:bookmarkStart w:id="333" w:name="_Toc347130361"/>
      <w:r w:rsidRPr="002F17F0">
        <w:rPr>
          <w:noProof/>
        </w:rPr>
        <w:drawing>
          <wp:inline distT="0" distB="0" distL="0" distR="0">
            <wp:extent cx="5486400" cy="4126686"/>
            <wp:effectExtent l="0" t="0" r="0" b="762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486400" cy="4126686"/>
                    </a:xfrm>
                    <a:prstGeom prst="rect">
                      <a:avLst/>
                    </a:prstGeom>
                    <a:noFill/>
                    <a:ln>
                      <a:noFill/>
                    </a:ln>
                  </pic:spPr>
                </pic:pic>
              </a:graphicData>
            </a:graphic>
          </wp:inline>
        </w:drawing>
      </w:r>
    </w:p>
    <w:p w:rsidR="00102D5A" w:rsidRDefault="00102D5A" w:rsidP="00102D5A">
      <w:pPr>
        <w:pStyle w:val="Heading2"/>
      </w:pPr>
      <w:bookmarkStart w:id="334" w:name="_Toc379715488"/>
      <w:bookmarkStart w:id="335" w:name="_Toc415231817"/>
      <w:r>
        <w:t>8.2 Comparison of Predicted and Observed Loads on Event-like Days</w:t>
      </w:r>
      <w:bookmarkEnd w:id="334"/>
      <w:bookmarkEnd w:id="335"/>
    </w:p>
    <w:p w:rsidR="00102D5A" w:rsidRDefault="00102D5A" w:rsidP="00245A70">
      <w:r>
        <w:t>The model specification tests are based on the ability of the model to predict program load on event-like non-event days. Figures 8</w:t>
      </w:r>
      <w:r w:rsidR="00367ECF">
        <w:t>–</w:t>
      </w:r>
      <w:r>
        <w:t>5 through 8</w:t>
      </w:r>
      <w:r w:rsidR="00367ECF">
        <w:t>–</w:t>
      </w:r>
      <w:r>
        <w:t xml:space="preserve">8 illustrate the average predicted and observed loads </w:t>
      </w:r>
      <w:r w:rsidR="00A43182">
        <w:t xml:space="preserve">for the average customer, </w:t>
      </w:r>
      <w:r>
        <w:t>across the event-like days</w:t>
      </w:r>
      <w:r w:rsidR="00A43182">
        <w:t>, for the various programs</w:t>
      </w:r>
      <w:r>
        <w:t>. In each figure, the solid line</w:t>
      </w:r>
      <w:r w:rsidR="00A43182">
        <w:t>s represent</w:t>
      </w:r>
      <w:r>
        <w:t xml:space="preserve"> the observed load and the dashed line</w:t>
      </w:r>
      <w:r w:rsidR="00A43182">
        <w:t>s represent</w:t>
      </w:r>
      <w:r>
        <w:t xml:space="preserve"> the load predicted by the statistical model.</w:t>
      </w:r>
      <w:r w:rsidR="00245A70">
        <w:t xml:space="preserve"> The </w:t>
      </w:r>
      <w:r>
        <w:t xml:space="preserve">predicted loads are </w:t>
      </w:r>
      <w:r w:rsidR="00245A70">
        <w:t xml:space="preserve">generally </w:t>
      </w:r>
      <w:r>
        <w:t xml:space="preserve">quite close to the observed loads for the </w:t>
      </w:r>
      <w:r w:rsidR="00245A70">
        <w:t xml:space="preserve">average </w:t>
      </w:r>
      <w:r>
        <w:t>event-like non-event days</w:t>
      </w:r>
      <w:r w:rsidR="00A43182">
        <w:t xml:space="preserve"> for each program and notice type</w:t>
      </w:r>
      <w:r>
        <w:t xml:space="preserve">. </w:t>
      </w:r>
    </w:p>
    <w:p w:rsidR="00102D5A" w:rsidRPr="00A73CCD" w:rsidRDefault="00102D5A" w:rsidP="005F7678">
      <w:pPr>
        <w:keepNext/>
        <w:keepLines/>
        <w:spacing w:after="120"/>
        <w:jc w:val="center"/>
        <w:rPr>
          <w:b/>
        </w:rPr>
      </w:pPr>
      <w:r w:rsidRPr="00A73CCD">
        <w:rPr>
          <w:b/>
        </w:rPr>
        <w:lastRenderedPageBreak/>
        <w:t>Figure 8</w:t>
      </w:r>
      <w:r w:rsidR="00367ECF">
        <w:rPr>
          <w:b/>
        </w:rPr>
        <w:t>–</w:t>
      </w:r>
      <w:r w:rsidR="005F7678">
        <w:rPr>
          <w:b/>
        </w:rPr>
        <w:t>6</w:t>
      </w:r>
      <w:r w:rsidRPr="00A73CCD">
        <w:rPr>
          <w:b/>
        </w:rPr>
        <w:t xml:space="preserve">: Average Predicted and Observed Loads on Event-like Days, </w:t>
      </w:r>
      <w:r w:rsidRPr="00A73CCD">
        <w:rPr>
          <w:b/>
          <w:i/>
        </w:rPr>
        <w:t>PG&amp;E</w:t>
      </w:r>
    </w:p>
    <w:p w:rsidR="00102D5A" w:rsidRDefault="00A43182" w:rsidP="00102D5A">
      <w:pPr>
        <w:keepNext/>
        <w:keepLines/>
      </w:pPr>
      <w:r>
        <w:rPr>
          <w:noProof/>
        </w:rPr>
        <w:drawing>
          <wp:inline distT="0" distB="0" distL="0" distR="0" wp14:anchorId="3BA057A1" wp14:editId="225807CF">
            <wp:extent cx="5486400" cy="3979545"/>
            <wp:effectExtent l="0" t="0" r="0" b="1905"/>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93"/>
              </a:graphicData>
            </a:graphic>
          </wp:inline>
        </w:drawing>
      </w:r>
    </w:p>
    <w:p w:rsidR="00102D5A" w:rsidRDefault="00102D5A" w:rsidP="00102D5A"/>
    <w:p w:rsidR="00102D5A" w:rsidRDefault="00102D5A" w:rsidP="00102D5A"/>
    <w:p w:rsidR="00102D5A" w:rsidRDefault="00102D5A" w:rsidP="0079588A">
      <w:pPr>
        <w:keepNext/>
        <w:spacing w:after="120"/>
        <w:jc w:val="center"/>
      </w:pPr>
      <w:r w:rsidRPr="00A73CCD">
        <w:rPr>
          <w:b/>
        </w:rPr>
        <w:lastRenderedPageBreak/>
        <w:t>Figure 8</w:t>
      </w:r>
      <w:r w:rsidR="00367ECF">
        <w:rPr>
          <w:b/>
        </w:rPr>
        <w:t>–</w:t>
      </w:r>
      <w:r w:rsidR="005F7678">
        <w:rPr>
          <w:b/>
        </w:rPr>
        <w:t>7</w:t>
      </w:r>
      <w:r w:rsidRPr="00A73CCD">
        <w:rPr>
          <w:b/>
        </w:rPr>
        <w:t xml:space="preserve">: Average Predicted and Observed Loads on Event-like Days, </w:t>
      </w:r>
      <w:r>
        <w:rPr>
          <w:b/>
          <w:i/>
        </w:rPr>
        <w:t>SCE</w:t>
      </w:r>
    </w:p>
    <w:p w:rsidR="00102D5A" w:rsidRDefault="0079588A" w:rsidP="00102D5A">
      <w:r>
        <w:rPr>
          <w:noProof/>
        </w:rPr>
        <w:drawing>
          <wp:inline distT="0" distB="0" distL="0" distR="0" wp14:anchorId="152CC609">
            <wp:extent cx="5712290" cy="4148455"/>
            <wp:effectExtent l="0" t="0" r="3175" b="444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5728911" cy="4160526"/>
                    </a:xfrm>
                    <a:prstGeom prst="rect">
                      <a:avLst/>
                    </a:prstGeom>
                    <a:noFill/>
                  </pic:spPr>
                </pic:pic>
              </a:graphicData>
            </a:graphic>
          </wp:inline>
        </w:drawing>
      </w:r>
    </w:p>
    <w:p w:rsidR="00102D5A" w:rsidRDefault="00102D5A" w:rsidP="00102D5A"/>
    <w:p w:rsidR="00102D5A" w:rsidRDefault="00102D5A" w:rsidP="005F7678">
      <w:pPr>
        <w:keepNext/>
        <w:keepLines/>
        <w:spacing w:after="120"/>
        <w:jc w:val="center"/>
      </w:pPr>
      <w:r w:rsidRPr="00A73CCD">
        <w:rPr>
          <w:b/>
        </w:rPr>
        <w:lastRenderedPageBreak/>
        <w:t>Figure 8</w:t>
      </w:r>
      <w:r w:rsidR="00367ECF">
        <w:rPr>
          <w:b/>
        </w:rPr>
        <w:t>–</w:t>
      </w:r>
      <w:r w:rsidR="005F7678">
        <w:rPr>
          <w:b/>
        </w:rPr>
        <w:t>8</w:t>
      </w:r>
      <w:r w:rsidRPr="00A73CCD">
        <w:rPr>
          <w:b/>
        </w:rPr>
        <w:t xml:space="preserve">: Average Predicted and Observed Loads on Event-like Days, </w:t>
      </w:r>
      <w:r w:rsidR="00A43182">
        <w:rPr>
          <w:b/>
          <w:i/>
        </w:rPr>
        <w:t xml:space="preserve">SDG&amp;E </w:t>
      </w:r>
    </w:p>
    <w:p w:rsidR="00102D5A" w:rsidRDefault="00861C7A" w:rsidP="00102D5A">
      <w:pPr>
        <w:keepNext/>
        <w:keepLines/>
      </w:pPr>
      <w:r>
        <w:rPr>
          <w:noProof/>
        </w:rPr>
        <w:drawing>
          <wp:inline distT="0" distB="0" distL="0" distR="0" wp14:anchorId="1B9BF111" wp14:editId="5080100A">
            <wp:extent cx="5486400" cy="3982085"/>
            <wp:effectExtent l="0" t="0" r="0" b="1841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p>
    <w:p w:rsidR="00102D5A" w:rsidRDefault="00102D5A" w:rsidP="00102D5A"/>
    <w:p w:rsidR="00102D5A" w:rsidRDefault="00102D5A" w:rsidP="00B30565">
      <w:pPr>
        <w:pStyle w:val="Heading2"/>
      </w:pPr>
    </w:p>
    <w:p w:rsidR="00B30565" w:rsidRPr="00CD66DA" w:rsidRDefault="00A44BB8" w:rsidP="00B30565">
      <w:pPr>
        <w:pStyle w:val="Heading2"/>
      </w:pPr>
      <w:bookmarkStart w:id="336" w:name="_Toc415231818"/>
      <w:r>
        <w:t>8</w:t>
      </w:r>
      <w:r w:rsidR="00B30565" w:rsidRPr="00CD66DA">
        <w:t>.</w:t>
      </w:r>
      <w:r w:rsidR="00102D5A">
        <w:t>3</w:t>
      </w:r>
      <w:r w:rsidR="00B30565" w:rsidRPr="00CD66DA">
        <w:t xml:space="preserve"> </w:t>
      </w:r>
      <w:r w:rsidR="00E72EF0">
        <w:t xml:space="preserve">Modifications to </w:t>
      </w:r>
      <w:r w:rsidR="00B30565" w:rsidRPr="00CD66DA">
        <w:t>Customer-Level Model</w:t>
      </w:r>
      <w:r w:rsidR="00E32C64">
        <w:t xml:space="preserve"> Result</w:t>
      </w:r>
      <w:r w:rsidR="00B30565" w:rsidRPr="00CD66DA">
        <w:t>s</w:t>
      </w:r>
      <w:bookmarkEnd w:id="332"/>
      <w:bookmarkEnd w:id="333"/>
      <w:bookmarkEnd w:id="336"/>
    </w:p>
    <w:p w:rsidR="00C26F88" w:rsidRDefault="00B30565" w:rsidP="00B30565">
      <w:r w:rsidRPr="00B30565">
        <w:t xml:space="preserve">While the specification tests described in Section </w:t>
      </w:r>
      <w:r w:rsidR="00A44BB8">
        <w:t>8</w:t>
      </w:r>
      <w:r w:rsidRPr="00B30565">
        <w:t xml:space="preserve">.1 were conducted on aggregated load profiles for each utility, the </w:t>
      </w:r>
      <w:r w:rsidR="00B74B13" w:rsidRPr="00B74B13">
        <w:rPr>
          <w:i/>
        </w:rPr>
        <w:t>ex-post</w:t>
      </w:r>
      <w:r w:rsidRPr="00B30565">
        <w:t xml:space="preserve"> load impacts are derived from the results of customer-level models. We examined the estimated load impacts from these models to determine whether any modifications to the estimates are required. We do this by comparing the observed hourly event-day loads to the observed loads from similar days to determine a </w:t>
      </w:r>
      <w:r w:rsidR="002961ED">
        <w:t>“</w:t>
      </w:r>
      <w:r w:rsidRPr="00B30565">
        <w:t>day matching</w:t>
      </w:r>
      <w:r w:rsidR="002961ED">
        <w:t>”</w:t>
      </w:r>
      <w:r w:rsidRPr="00B30565">
        <w:t xml:space="preserve"> load impact that may be compared to the estimated load impacts. In this evaluation, we elected to modify the estimated load impacts </w:t>
      </w:r>
      <w:r w:rsidR="00E643A5">
        <w:t xml:space="preserve">for only two </w:t>
      </w:r>
      <w:r w:rsidR="00595F10">
        <w:t>service accounts</w:t>
      </w:r>
      <w:r w:rsidR="00E643A5">
        <w:t xml:space="preserve"> </w:t>
      </w:r>
      <w:r w:rsidRPr="00B30565">
        <w:t>as a result of these inspections.</w:t>
      </w:r>
      <w:r w:rsidR="00E643A5">
        <w:t xml:space="preserve"> These were for one large PG&amp;E CBP customer whose loads on two event days led the model to estimate load </w:t>
      </w:r>
      <w:r w:rsidR="00E643A5" w:rsidRPr="00E643A5">
        <w:rPr>
          <w:i/>
        </w:rPr>
        <w:t>increases</w:t>
      </w:r>
      <w:r w:rsidR="00E643A5">
        <w:t xml:space="preserve">, whereas an inspection of the data indicated that the customer simply did not reduce load. Thus the load impacts were set to zero. </w:t>
      </w:r>
    </w:p>
    <w:p w:rsidR="00102D5A" w:rsidRDefault="00102D5A" w:rsidP="00A44BB8"/>
    <w:p w:rsidR="00A35601" w:rsidRDefault="00DF7B6A" w:rsidP="00DF7B6A">
      <w:pPr>
        <w:pStyle w:val="Heading1"/>
        <w:keepLines/>
        <w:numPr>
          <w:ilvl w:val="0"/>
          <w:numId w:val="0"/>
        </w:numPr>
      </w:pPr>
      <w:bookmarkStart w:id="337" w:name="_Toc415231819"/>
      <w:r>
        <w:lastRenderedPageBreak/>
        <w:t>9.</w:t>
      </w:r>
      <w:r>
        <w:tab/>
      </w:r>
      <w:r w:rsidR="00A35601" w:rsidRPr="00DF7B6A">
        <w:t>Recommendations</w:t>
      </w:r>
      <w:bookmarkEnd w:id="337"/>
    </w:p>
    <w:p w:rsidR="00DF7B6A" w:rsidRDefault="00DF7B6A" w:rsidP="00DF7B6A">
      <w:pPr>
        <w:keepNext/>
        <w:keepLines/>
      </w:pPr>
    </w:p>
    <w:p w:rsidR="00ED74B4" w:rsidRPr="00A35601" w:rsidRDefault="00A35601" w:rsidP="00DF7B6A">
      <w:pPr>
        <w:keepNext/>
        <w:keepLines/>
        <w:rPr>
          <w:sz w:val="22"/>
          <w:szCs w:val="22"/>
        </w:rPr>
      </w:pPr>
      <w:r>
        <w:t>Given the move toward occasional locational dispatch of aggregator events, the DRMEC may want to consider reporting load impacts by sub-LAP (or other relevant location identifiers) in addition to</w:t>
      </w:r>
      <w:bookmarkStart w:id="338" w:name="_GoBack"/>
      <w:bookmarkEnd w:id="338"/>
      <w:r>
        <w:t xml:space="preserve"> the current LCA.</w:t>
      </w:r>
    </w:p>
    <w:p w:rsidR="00042525" w:rsidRPr="00042525" w:rsidRDefault="00042525" w:rsidP="00042525">
      <w:pPr>
        <w:pStyle w:val="Heading1"/>
        <w:numPr>
          <w:ilvl w:val="0"/>
          <w:numId w:val="0"/>
        </w:numPr>
      </w:pPr>
      <w:bookmarkStart w:id="339" w:name="_Toc414439856"/>
      <w:r>
        <w:br/>
      </w:r>
      <w:r>
        <w:br w:type="page"/>
      </w:r>
    </w:p>
    <w:p w:rsidR="003D0C3B" w:rsidRDefault="003D0C3B" w:rsidP="003D0C3B">
      <w:pPr>
        <w:pStyle w:val="Heading1"/>
        <w:numPr>
          <w:ilvl w:val="0"/>
          <w:numId w:val="0"/>
        </w:numPr>
      </w:pPr>
      <w:bookmarkStart w:id="340" w:name="_Toc415231820"/>
      <w:r>
        <w:lastRenderedPageBreak/>
        <w:t>Appendices</w:t>
      </w:r>
      <w:bookmarkEnd w:id="339"/>
      <w:bookmarkEnd w:id="340"/>
    </w:p>
    <w:p w:rsidR="003D0C3B" w:rsidRDefault="003D0C3B" w:rsidP="003D0C3B">
      <w:r>
        <w:t>The following Appendices accompany this report. All are Excel files that can produce the tables required by the Protocols.</w:t>
      </w:r>
    </w:p>
    <w:p w:rsidR="003D0C3B" w:rsidRDefault="003D0C3B" w:rsidP="003D0C3B"/>
    <w:p w:rsidR="003D0C3B" w:rsidRDefault="003D0C3B" w:rsidP="003D0C3B">
      <w:r>
        <w:t xml:space="preserve">Aggregator Study Appendix A </w:t>
      </w:r>
      <w:r>
        <w:tab/>
        <w:t>PG&amp;E CBP Ex-Post Load Impact Tables</w:t>
      </w:r>
    </w:p>
    <w:p w:rsidR="003D0C3B" w:rsidRDefault="003D0C3B" w:rsidP="003D0C3B">
      <w:r>
        <w:t xml:space="preserve">Aggregator Study Appendix B </w:t>
      </w:r>
      <w:r>
        <w:tab/>
        <w:t>SCE CBP Ex-Post Load Impact Tables</w:t>
      </w:r>
    </w:p>
    <w:p w:rsidR="003D0C3B" w:rsidRDefault="003D0C3B" w:rsidP="003D0C3B">
      <w:r>
        <w:t xml:space="preserve">Aggregator Study Appendix C </w:t>
      </w:r>
      <w:r>
        <w:tab/>
        <w:t>SDG&amp;E CBP Ex-Post Load Impact Tables</w:t>
      </w:r>
    </w:p>
    <w:p w:rsidR="003D0C3B" w:rsidRDefault="003D0C3B" w:rsidP="003D0C3B">
      <w:r>
        <w:t xml:space="preserve">Aggregator Study Appendix D </w:t>
      </w:r>
      <w:r>
        <w:tab/>
        <w:t>PG&amp;E AMP Ex-Post Load Impact Tables</w:t>
      </w:r>
    </w:p>
    <w:p w:rsidR="003D0C3B" w:rsidRDefault="003D0C3B" w:rsidP="003D0C3B">
      <w:r>
        <w:t xml:space="preserve">Aggregator Study Appendix E </w:t>
      </w:r>
      <w:r>
        <w:tab/>
        <w:t>SCE AMP Ex-Post Load Impact Tables</w:t>
      </w:r>
    </w:p>
    <w:p w:rsidR="003D0C3B" w:rsidRDefault="003D0C3B" w:rsidP="003D0C3B">
      <w:r>
        <w:t xml:space="preserve">Aggregator Study Appendix F </w:t>
      </w:r>
      <w:r>
        <w:tab/>
        <w:t>PG&amp;E CBP Ex-Ante Load Impact Tables</w:t>
      </w:r>
    </w:p>
    <w:p w:rsidR="003D0C3B" w:rsidRDefault="003D0C3B" w:rsidP="003D0C3B">
      <w:r>
        <w:t xml:space="preserve">Aggregator Study Appendix G </w:t>
      </w:r>
      <w:r>
        <w:tab/>
        <w:t>SCE CBP Ex-Ante Load Impact Tables</w:t>
      </w:r>
    </w:p>
    <w:p w:rsidR="003D0C3B" w:rsidRDefault="003D0C3B" w:rsidP="003D0C3B">
      <w:r>
        <w:t xml:space="preserve">Aggregator Study Appendix H </w:t>
      </w:r>
      <w:r>
        <w:tab/>
        <w:t>SDG&amp;E CBP Ex-Ante Load Impact Tables</w:t>
      </w:r>
    </w:p>
    <w:p w:rsidR="003D0C3B" w:rsidRDefault="003D0C3B" w:rsidP="003D0C3B">
      <w:r>
        <w:t xml:space="preserve">Aggregator Study Appendix I  </w:t>
      </w:r>
      <w:r>
        <w:tab/>
        <w:t>PG&amp;E AMP Ex-Ante Load Impact Tables</w:t>
      </w:r>
    </w:p>
    <w:p w:rsidR="003D0C3B" w:rsidRDefault="003D0C3B" w:rsidP="003D0C3B">
      <w:r>
        <w:t xml:space="preserve">Aggregator Study Appendix J  </w:t>
      </w:r>
      <w:r>
        <w:tab/>
        <w:t>SCE AMP Ex-Ante Load Impact Tables</w:t>
      </w:r>
    </w:p>
    <w:p w:rsidR="003D0C3B" w:rsidRDefault="003D0C3B" w:rsidP="003D0C3B"/>
    <w:p w:rsidR="00A44BB8" w:rsidRPr="005906CE" w:rsidRDefault="00A44BB8" w:rsidP="00B30565"/>
    <w:sectPr w:rsidR="00A44BB8" w:rsidRPr="005906C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F3E" w:rsidRDefault="00030F3E">
      <w:r>
        <w:separator/>
      </w:r>
    </w:p>
  </w:endnote>
  <w:endnote w:type="continuationSeparator" w:id="0">
    <w:p w:rsidR="00030F3E" w:rsidRDefault="00030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F3E" w:rsidRDefault="00030F3E" w:rsidP="00952923">
    <w:pPr>
      <w:pStyle w:val="FootnoteText"/>
      <w:framePr w:wrap="around" w:vAnchor="text" w:hAnchor="margin" w:xAlign="center" w:y="1"/>
      <w:rPr>
        <w:rStyle w:val="FootnoteReference"/>
      </w:rPr>
    </w:pPr>
    <w:r>
      <w:rPr>
        <w:rStyle w:val="FootnoteReference"/>
      </w:rPr>
      <w:fldChar w:fldCharType="begin"/>
    </w:r>
    <w:r>
      <w:rPr>
        <w:rStyle w:val="FootnoteReference"/>
      </w:rPr>
      <w:instrText xml:space="preserve">PAGE  </w:instrText>
    </w:r>
    <w:r>
      <w:rPr>
        <w:rStyle w:val="FootnoteReference"/>
      </w:rPr>
      <w:fldChar w:fldCharType="end"/>
    </w:r>
  </w:p>
  <w:p w:rsidR="00030F3E" w:rsidRDefault="00030F3E">
    <w:pPr>
      <w:pStyle w:val="Footnote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F3E" w:rsidRPr="003601DE" w:rsidRDefault="00030F3E" w:rsidP="00952923">
    <w:pPr>
      <w:pStyle w:val="Footer"/>
      <w:rPr>
        <w:rFonts w:ascii="AvantGarde" w:hAnsi="AvantGarde"/>
        <w:sz w:val="20"/>
        <w:szCs w:val="20"/>
      </w:rPr>
    </w:pPr>
    <w:r w:rsidRPr="003601DE">
      <w:rPr>
        <w:rFonts w:ascii="AvantGarde" w:hAnsi="AvantGarde"/>
        <w:sz w:val="20"/>
        <w:szCs w:val="20"/>
      </w:rPr>
      <w:t>Christensen Associates Energy Consulting, LLC</w:t>
    </w:r>
  </w:p>
  <w:p w:rsidR="00030F3E" w:rsidRPr="003C0234" w:rsidRDefault="00030F3E" w:rsidP="00952923">
    <w:pPr>
      <w:pStyle w:val="Footer"/>
      <w:rPr>
        <w:rFonts w:ascii="AvantGarde" w:hAnsi="AvantGarde"/>
        <w:sz w:val="20"/>
        <w:szCs w:val="20"/>
      </w:rPr>
    </w:pPr>
    <w:smartTag w:uri="urn:schemas-microsoft-com:office:smarttags" w:element="Street">
      <w:smartTag w:uri="urn:schemas-microsoft-com:office:smarttags" w:element="address">
        <w:r w:rsidRPr="003C0234">
          <w:rPr>
            <w:rFonts w:ascii="AvantGarde" w:hAnsi="AvantGarde"/>
            <w:sz w:val="20"/>
            <w:szCs w:val="20"/>
          </w:rPr>
          <w:t>800 University Bay Drive, Suite 400</w:t>
        </w:r>
      </w:smartTag>
    </w:smartTag>
  </w:p>
  <w:p w:rsidR="00030F3E" w:rsidRPr="003C0234" w:rsidRDefault="00030F3E" w:rsidP="00952923">
    <w:pPr>
      <w:pStyle w:val="Footer"/>
      <w:rPr>
        <w:rFonts w:ascii="AvantGarde" w:hAnsi="AvantGarde"/>
        <w:sz w:val="20"/>
        <w:szCs w:val="20"/>
      </w:rPr>
    </w:pPr>
    <w:smartTag w:uri="urn:schemas-microsoft-com:office:smarttags" w:element="place">
      <w:smartTag w:uri="urn:schemas-microsoft-com:office:smarttags" w:element="City">
        <w:r>
          <w:rPr>
            <w:rFonts w:ascii="AvantGarde" w:hAnsi="AvantGarde"/>
            <w:sz w:val="20"/>
            <w:szCs w:val="20"/>
          </w:rPr>
          <w:t>Madison</w:t>
        </w:r>
      </w:smartTag>
      <w:r>
        <w:rPr>
          <w:rFonts w:ascii="AvantGarde" w:hAnsi="AvantGarde"/>
          <w:sz w:val="20"/>
          <w:szCs w:val="20"/>
        </w:rPr>
        <w:t xml:space="preserve">, </w:t>
      </w:r>
      <w:smartTag w:uri="urn:schemas-microsoft-com:office:smarttags" w:element="State">
        <w:r>
          <w:rPr>
            <w:rFonts w:ascii="AvantGarde" w:hAnsi="AvantGarde"/>
            <w:sz w:val="20"/>
            <w:szCs w:val="20"/>
          </w:rPr>
          <w:t>WI</w:t>
        </w:r>
      </w:smartTag>
      <w:r>
        <w:rPr>
          <w:rFonts w:ascii="AvantGarde" w:hAnsi="AvantGarde"/>
          <w:sz w:val="20"/>
          <w:szCs w:val="20"/>
        </w:rPr>
        <w:t xml:space="preserve">  </w:t>
      </w:r>
      <w:smartTag w:uri="urn:schemas-microsoft-com:office:smarttags" w:element="PostalCode">
        <w:r>
          <w:rPr>
            <w:rFonts w:ascii="AvantGarde" w:hAnsi="AvantGarde"/>
            <w:sz w:val="20"/>
            <w:szCs w:val="20"/>
          </w:rPr>
          <w:t>53705-2299</w:t>
        </w:r>
      </w:smartTag>
    </w:smartTag>
  </w:p>
  <w:p w:rsidR="00030F3E" w:rsidRPr="003C0234" w:rsidRDefault="00030F3E" w:rsidP="00952923">
    <w:pPr>
      <w:pStyle w:val="Footer"/>
      <w:rPr>
        <w:rFonts w:ascii="AvantGarde" w:hAnsi="AvantGarde"/>
        <w:sz w:val="20"/>
        <w:szCs w:val="20"/>
      </w:rPr>
    </w:pPr>
  </w:p>
  <w:p w:rsidR="00030F3E" w:rsidRPr="003601DE" w:rsidRDefault="00030F3E">
    <w:pPr>
      <w:pStyle w:val="Footer"/>
      <w:rPr>
        <w:rFonts w:ascii="AvantGarde" w:hAnsi="AvantGarde"/>
        <w:sz w:val="20"/>
        <w:szCs w:val="20"/>
      </w:rPr>
    </w:pPr>
    <w:r w:rsidRPr="003C0234">
      <w:rPr>
        <w:rFonts w:ascii="AvantGarde" w:hAnsi="AvantGarde"/>
        <w:sz w:val="20"/>
        <w:szCs w:val="20"/>
      </w:rPr>
      <w:t>Voice</w:t>
    </w:r>
    <w:r>
      <w:rPr>
        <w:rFonts w:ascii="AvantGarde" w:hAnsi="AvantGarde"/>
        <w:sz w:val="20"/>
        <w:szCs w:val="20"/>
      </w:rPr>
      <w:t xml:space="preserve"> 608.231.2266  Fax 608.231.2108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F3E" w:rsidRPr="00933DAC" w:rsidRDefault="00030F3E" w:rsidP="00933DAC">
    <w:pPr>
      <w:pStyle w:val="Footer"/>
      <w:pBdr>
        <w:top w:val="single" w:sz="4" w:space="1" w:color="auto"/>
      </w:pBdr>
      <w:rPr>
        <w:sz w:val="22"/>
        <w:szCs w:val="22"/>
      </w:rPr>
    </w:pPr>
    <w:r w:rsidRPr="00933DAC">
      <w:rPr>
        <w:sz w:val="22"/>
        <w:szCs w:val="22"/>
      </w:rPr>
      <w:tab/>
    </w:r>
    <w:r w:rsidRPr="00933DAC">
      <w:rPr>
        <w:rStyle w:val="PageNumber"/>
        <w:sz w:val="22"/>
        <w:szCs w:val="22"/>
      </w:rPr>
      <w:fldChar w:fldCharType="begin"/>
    </w:r>
    <w:r w:rsidRPr="00933DAC">
      <w:rPr>
        <w:rStyle w:val="PageNumber"/>
        <w:sz w:val="22"/>
        <w:szCs w:val="22"/>
      </w:rPr>
      <w:instrText xml:space="preserve"> PAGE </w:instrText>
    </w:r>
    <w:r w:rsidRPr="00933DAC">
      <w:rPr>
        <w:rStyle w:val="PageNumber"/>
        <w:sz w:val="22"/>
        <w:szCs w:val="22"/>
      </w:rPr>
      <w:fldChar w:fldCharType="separate"/>
    </w:r>
    <w:r w:rsidR="006A7490">
      <w:rPr>
        <w:rStyle w:val="PageNumber"/>
        <w:noProof/>
        <w:sz w:val="22"/>
        <w:szCs w:val="22"/>
      </w:rPr>
      <w:t>97</w:t>
    </w:r>
    <w:r w:rsidRPr="00933DAC">
      <w:rPr>
        <w:rStyle w:val="PageNumber"/>
        <w:sz w:val="22"/>
        <w:szCs w:val="22"/>
      </w:rPr>
      <w:fldChar w:fldCharType="end"/>
    </w:r>
    <w:r w:rsidRPr="00933DAC">
      <w:rPr>
        <w:sz w:val="22"/>
        <w:szCs w:val="22"/>
      </w:rPr>
      <w:tab/>
      <w:t>CA Energy Consulting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F3E" w:rsidRDefault="00030F3E">
      <w:r>
        <w:separator/>
      </w:r>
    </w:p>
  </w:footnote>
  <w:footnote w:type="continuationSeparator" w:id="0">
    <w:p w:rsidR="00030F3E" w:rsidRDefault="00030F3E">
      <w:r>
        <w:continuationSeparator/>
      </w:r>
    </w:p>
  </w:footnote>
  <w:footnote w:id="1">
    <w:p w:rsidR="00030F3E" w:rsidRDefault="00030F3E">
      <w:pPr>
        <w:pStyle w:val="FootnoteText"/>
      </w:pPr>
      <w:r>
        <w:rPr>
          <w:rStyle w:val="FootnoteReference"/>
        </w:rPr>
        <w:footnoteRef/>
      </w:r>
      <w:r>
        <w:t xml:space="preserve"> PG&amp;E refers to these as service agreements.</w:t>
      </w:r>
    </w:p>
  </w:footnote>
  <w:footnote w:id="2">
    <w:p w:rsidR="00030F3E" w:rsidRDefault="00030F3E">
      <w:pPr>
        <w:pStyle w:val="FootnoteText"/>
      </w:pPr>
      <w:r>
        <w:rPr>
          <w:rStyle w:val="FootnoteReference"/>
        </w:rPr>
        <w:footnoteRef/>
      </w:r>
      <w:r>
        <w:t xml:space="preserve"> Load impact values for PG&amp;E’s AMP DA are not available due to confidentiality reasons.</w:t>
      </w:r>
    </w:p>
  </w:footnote>
  <w:footnote w:id="3">
    <w:p w:rsidR="00030F3E" w:rsidRDefault="00030F3E">
      <w:pPr>
        <w:pStyle w:val="FootnoteText"/>
      </w:pPr>
      <w:r>
        <w:rPr>
          <w:rStyle w:val="FootnoteReference"/>
        </w:rPr>
        <w:footnoteRef/>
      </w:r>
      <w:r>
        <w:t xml:space="preserve"> The relatively large number of CBP DO service accounts reflects the transfer of one AMP DO portfolio to CBP DO as of July 1. </w:t>
      </w:r>
    </w:p>
  </w:footnote>
  <w:footnote w:id="4">
    <w:p w:rsidR="00030F3E" w:rsidRPr="00C77A7B" w:rsidRDefault="00030F3E">
      <w:pPr>
        <w:pStyle w:val="FootnoteText"/>
      </w:pPr>
      <w:r w:rsidRPr="00C77A7B">
        <w:rPr>
          <w:rStyle w:val="FootnoteReference"/>
        </w:rPr>
        <w:footnoteRef/>
      </w:r>
      <w:r w:rsidRPr="00C77A7B">
        <w:t xml:space="preserve"> Aggregators in the CBP program may change nominations on a monthly basis. </w:t>
      </w:r>
      <w:r>
        <w:t xml:space="preserve">The values shown are for the average of typical events. </w:t>
      </w:r>
      <w:r w:rsidRPr="00C77A7B">
        <w:t>Nominat</w:t>
      </w:r>
      <w:r>
        <w:t>ed capacities</w:t>
      </w:r>
      <w:r w:rsidRPr="00C77A7B">
        <w:t xml:space="preserve"> for AMP are contractually based. </w:t>
      </w:r>
    </w:p>
  </w:footnote>
  <w:footnote w:id="5">
    <w:p w:rsidR="00030F3E" w:rsidRPr="00086C74" w:rsidRDefault="00030F3E">
      <w:pPr>
        <w:pStyle w:val="FootnoteText"/>
      </w:pPr>
      <w:r w:rsidRPr="00086C74">
        <w:rPr>
          <w:rStyle w:val="FootnoteReference"/>
        </w:rPr>
        <w:footnoteRef/>
      </w:r>
      <w:r w:rsidRPr="00086C74">
        <w:t xml:space="preserve"> Participants may be individual customers or aggregators, but most all are aggregators.</w:t>
      </w:r>
    </w:p>
  </w:footnote>
  <w:footnote w:id="6">
    <w:p w:rsidR="00030F3E" w:rsidRPr="00FB228C" w:rsidRDefault="00030F3E">
      <w:pPr>
        <w:pStyle w:val="FootnoteText"/>
      </w:pPr>
      <w:r w:rsidRPr="00FB228C">
        <w:rPr>
          <w:rStyle w:val="FootnoteReference"/>
        </w:rPr>
        <w:footnoteRef/>
      </w:r>
      <w:r w:rsidRPr="00FB228C">
        <w:t xml:space="preserve"> The program is also open to Direct Access and Community Choice Aggregation customers.</w:t>
      </w:r>
    </w:p>
  </w:footnote>
  <w:footnote w:id="7">
    <w:p w:rsidR="00030F3E" w:rsidRPr="00F34148" w:rsidRDefault="00030F3E" w:rsidP="00803267">
      <w:pPr>
        <w:pStyle w:val="FootnoteText"/>
      </w:pPr>
      <w:r w:rsidRPr="00F34148">
        <w:rPr>
          <w:rStyle w:val="FootnoteReference"/>
        </w:rPr>
        <w:footnoteRef/>
      </w:r>
      <w:r w:rsidRPr="00F34148">
        <w:t xml:space="preserve"> C</w:t>
      </w:r>
      <w:r>
        <w:t xml:space="preserve">oincident maximum </w:t>
      </w:r>
      <w:r w:rsidRPr="00F34148">
        <w:t xml:space="preserve">demand (“Sum of Max </w:t>
      </w:r>
      <w:r>
        <w:t>Demand (</w:t>
      </w:r>
      <w:r w:rsidRPr="00F34148">
        <w:t>MW</w:t>
      </w:r>
      <w:r>
        <w:t>)</w:t>
      </w:r>
      <w:r w:rsidRPr="00F34148">
        <w:t xml:space="preserve">” in the tables) is calculated as the </w:t>
      </w:r>
      <w:r>
        <w:t xml:space="preserve">sum over customers of their reference load in the hour of </w:t>
      </w:r>
      <w:r w:rsidRPr="00F34148">
        <w:t xml:space="preserve">maximum </w:t>
      </w:r>
      <w:r>
        <w:t xml:space="preserve">demand during the hours of typical events for the relevant program. Customers’ reference load on an event day is defined as their observed load, plus their estimated load impacts added back in. </w:t>
      </w:r>
    </w:p>
  </w:footnote>
  <w:footnote w:id="8">
    <w:p w:rsidR="00030F3E" w:rsidRDefault="00030F3E">
      <w:pPr>
        <w:pStyle w:val="FootnoteText"/>
      </w:pPr>
      <w:r>
        <w:rPr>
          <w:rStyle w:val="FootnoteReference"/>
        </w:rPr>
        <w:footnoteRef/>
      </w:r>
      <w:r>
        <w:t xml:space="preserve"> The number of accounts nominated for SCE CBP DO is indicated as applying only for July through October. This is the case because one aggregator transferred customers from a DO 1-4 Hour contract’s portfolio from AMP to CBP effective in July.</w:t>
      </w:r>
    </w:p>
  </w:footnote>
  <w:footnote w:id="9">
    <w:p w:rsidR="00030F3E" w:rsidRPr="00766106" w:rsidRDefault="00030F3E">
      <w:pPr>
        <w:pStyle w:val="FootnoteText"/>
      </w:pPr>
      <w:r w:rsidRPr="00766106">
        <w:rPr>
          <w:rStyle w:val="FootnoteReference"/>
        </w:rPr>
        <w:footnoteRef/>
      </w:r>
      <w:r w:rsidRPr="00766106">
        <w:t xml:space="preserve"> We report nominations</w:t>
      </w:r>
      <w:r>
        <w:t xml:space="preserve"> </w:t>
      </w:r>
      <w:r w:rsidRPr="00D2004F">
        <w:t xml:space="preserve">because </w:t>
      </w:r>
      <w:r>
        <w:t xml:space="preserve">CBP </w:t>
      </w:r>
      <w:r w:rsidRPr="00D2004F">
        <w:t xml:space="preserve">customers are not assigned to DA or DO product types until they are </w:t>
      </w:r>
      <w:r>
        <w:t>nominated in a particular month. The average number of nominated service accounts may not equal the number called for any particular event. That number is shown for each event in the load impact tables.</w:t>
      </w:r>
      <w:r w:rsidRPr="00766106">
        <w:t xml:space="preserve"> </w:t>
      </w:r>
      <w:r>
        <w:t>The reported numbers of customers nominated reflects service accounts whose load data were available and included in this study.</w:t>
      </w:r>
    </w:p>
  </w:footnote>
  <w:footnote w:id="10">
    <w:p w:rsidR="00030F3E" w:rsidRDefault="00030F3E">
      <w:pPr>
        <w:pStyle w:val="FootnoteText"/>
      </w:pPr>
      <w:r>
        <w:rPr>
          <w:rStyle w:val="FootnoteReference"/>
        </w:rPr>
        <w:footnoteRef/>
      </w:r>
      <w:r>
        <w:t xml:space="preserve"> In this report, blank cells or rows in tables reflect values that are redacted by the utilities due to confidentiality concerns about cases of small numbers of customers.</w:t>
      </w:r>
    </w:p>
  </w:footnote>
  <w:footnote w:id="11">
    <w:p w:rsidR="00030F3E" w:rsidRPr="000249A3" w:rsidRDefault="00030F3E" w:rsidP="000249A3">
      <w:pPr>
        <w:pStyle w:val="FootnoteText"/>
      </w:pPr>
      <w:r w:rsidRPr="000249A3">
        <w:rPr>
          <w:rStyle w:val="FootnoteReference"/>
        </w:rPr>
        <w:footnoteRef/>
      </w:r>
      <w:r w:rsidRPr="000249A3">
        <w:t xml:space="preserve"> Th</w:t>
      </w:r>
      <w:r>
        <w:t>e summer pricing season</w:t>
      </w:r>
      <w:r w:rsidRPr="000249A3">
        <w:t xml:space="preserve"> is July through September for SCE, May through September for SDG&amp;E, and May through October for PG&amp;E.</w:t>
      </w:r>
      <w:r>
        <w:t xml:space="preserve"> This variable is designed to account for the effect of the strong summer peak TOU prices that are in effect during this period for most customers at each of the three utilities. Since the summer pricing season for PG&amp;E overlaps exactly with the months included in the regression analysis, no </w:t>
      </w:r>
      <w:r w:rsidRPr="00C2024F">
        <w:rPr>
          <w:i/>
        </w:rPr>
        <w:t>Summer</w:t>
      </w:r>
      <w:r>
        <w:t xml:space="preserve"> variable is included in the regressions for PG&amp;E. </w:t>
      </w:r>
    </w:p>
  </w:footnote>
  <w:footnote w:id="12">
    <w:p w:rsidR="00030F3E" w:rsidRDefault="00030F3E" w:rsidP="00FC7181">
      <w:pPr>
        <w:pStyle w:val="FootnoteText"/>
        <w:rPr>
          <w:rFonts w:asciiTheme="minorHAnsi" w:hAnsiTheme="minorHAnsi"/>
        </w:rPr>
      </w:pPr>
      <w:r>
        <w:rPr>
          <w:rStyle w:val="FootnoteReference"/>
          <w:rFonts w:asciiTheme="minorHAnsi" w:hAnsiTheme="minorHAnsi"/>
        </w:rPr>
        <w:footnoteRef/>
      </w:r>
      <w:r>
        <w:rPr>
          <w:rFonts w:asciiTheme="minorHAnsi" w:hAnsiTheme="minorHAnsi"/>
        </w:rPr>
        <w:t xml:space="preserve"> </w:t>
      </w:r>
      <w:r w:rsidRPr="005A3C8C">
        <w:rPr>
          <w:rFonts w:asciiTheme="minorHAnsi" w:hAnsiTheme="minorHAnsi"/>
        </w:rPr>
        <w:t>The typical event day for the aggregator-based programs, as described in Section 4</w:t>
      </w:r>
      <w:r>
        <w:rPr>
          <w:rFonts w:asciiTheme="minorHAnsi" w:hAnsiTheme="minorHAnsi"/>
        </w:rPr>
        <w:t>,</w:t>
      </w:r>
      <w:r w:rsidRPr="005A3C8C">
        <w:rPr>
          <w:rFonts w:asciiTheme="minorHAnsi" w:hAnsiTheme="minorHAnsi"/>
        </w:rPr>
        <w:t xml:space="preserve"> is the average </w:t>
      </w:r>
      <w:r>
        <w:rPr>
          <w:rFonts w:asciiTheme="minorHAnsi" w:hAnsiTheme="minorHAnsi"/>
        </w:rPr>
        <w:t>of</w:t>
      </w:r>
      <w:r w:rsidRPr="005A3C8C">
        <w:rPr>
          <w:rFonts w:asciiTheme="minorHAnsi" w:hAnsiTheme="minorHAnsi"/>
        </w:rPr>
        <w:t xml:space="preserve"> all system-wide events that have the same event-window hours (</w:t>
      </w:r>
      <w:r w:rsidRPr="005A3C8C">
        <w:rPr>
          <w:rFonts w:asciiTheme="minorHAnsi" w:hAnsiTheme="minorHAnsi"/>
          <w:i/>
        </w:rPr>
        <w:t>e.g.</w:t>
      </w:r>
      <w:r w:rsidRPr="005A3C8C">
        <w:rPr>
          <w:rFonts w:asciiTheme="minorHAnsi" w:hAnsiTheme="minorHAnsi"/>
        </w:rPr>
        <w:t>, hours-ending 16 to 19).</w:t>
      </w:r>
    </w:p>
  </w:footnote>
  <w:footnote w:id="13">
    <w:p w:rsidR="00030F3E" w:rsidRDefault="00030F3E">
      <w:pPr>
        <w:pStyle w:val="FootnoteText"/>
      </w:pPr>
      <w:r>
        <w:rPr>
          <w:rStyle w:val="FootnoteReference"/>
        </w:rPr>
        <w:footnoteRef/>
      </w:r>
      <w:r>
        <w:t xml:space="preserve"> Aggregator events may be called for different aggregators, different locations, and for different hours. This feature complicates both the definition of an “average,” or “typical” event, and the reporting of estimated load impacts for the average event-hour. The typical events selected for each program and utility are described below. </w:t>
      </w:r>
    </w:p>
  </w:footnote>
  <w:footnote w:id="14">
    <w:p w:rsidR="00030F3E" w:rsidRDefault="00030F3E">
      <w:pPr>
        <w:pStyle w:val="FootnoteText"/>
      </w:pPr>
      <w:r>
        <w:rPr>
          <w:rStyle w:val="FootnoteReference"/>
        </w:rPr>
        <w:footnoteRef/>
      </w:r>
      <w:r>
        <w:t xml:space="preserve"> Results for PG&amp;E’s AMP DA are redacted due to confidentiality reasons.</w:t>
      </w:r>
    </w:p>
  </w:footnote>
  <w:footnote w:id="15">
    <w:p w:rsidR="00030F3E" w:rsidRDefault="00030F3E">
      <w:pPr>
        <w:pStyle w:val="FootnoteText"/>
      </w:pPr>
      <w:r>
        <w:rPr>
          <w:rStyle w:val="FootnoteReference"/>
        </w:rPr>
        <w:footnoteRef/>
      </w:r>
      <w:r>
        <w:t xml:space="preserve"> New for this study, load impacts are calculated for both sets of weather conditions under two alternative weather constructs. One is based on typical conditions at the time of each utility’s monthly system peak, as in previous studies, though with updated data. The other is based on conditions coincident with CAISO peak loads. </w:t>
      </w:r>
    </w:p>
  </w:footnote>
  <w:footnote w:id="16">
    <w:p w:rsidR="00030F3E" w:rsidRDefault="00030F3E">
      <w:pPr>
        <w:pStyle w:val="FootnoteText"/>
      </w:pPr>
      <w:r>
        <w:rPr>
          <w:rStyle w:val="FootnoteReference"/>
        </w:rPr>
        <w:footnoteRef/>
      </w:r>
      <w:r>
        <w:t xml:space="preserve"> This approach is used because of the need to place hours into “bins” to accommodate differences between the </w:t>
      </w:r>
      <w:r w:rsidRPr="00E202A3">
        <w:rPr>
          <w:i/>
        </w:rPr>
        <w:t>ex-post</w:t>
      </w:r>
      <w:r>
        <w:t xml:space="preserve"> and </w:t>
      </w:r>
      <w:r w:rsidRPr="00E202A3">
        <w:rPr>
          <w:i/>
        </w:rPr>
        <w:t>ex-ante</w:t>
      </w:r>
      <w:r>
        <w:t xml:space="preserve"> event windows. Specifically, the variability of the hours within the event-hour bin already reflects the average event-hour variability, so the average event-hour variability simply mimics the variability in the individual event hours. </w:t>
      </w:r>
    </w:p>
  </w:footnote>
  <w:footnote w:id="17">
    <w:p w:rsidR="00030F3E" w:rsidRDefault="00030F3E" w:rsidP="00813579">
      <w:pPr>
        <w:pStyle w:val="FootnoteText"/>
      </w:pPr>
      <w:r>
        <w:rPr>
          <w:rStyle w:val="FootnoteReference"/>
        </w:rPr>
        <w:footnoteRef/>
      </w:r>
      <w:r>
        <w:t xml:space="preserve"> PG&amp;E also forecasts separate enrollments for program- and portfolio-level scenarios, where the portfolio-level enrollments account for the effects of dual enrollments. However, because AMP and CBP are capacity-based programs, the program- and portfolio-based load impacts are the same.</w:t>
      </w:r>
    </w:p>
  </w:footnote>
  <w:footnote w:id="18">
    <w:p w:rsidR="00030F3E" w:rsidRDefault="00030F3E" w:rsidP="00813579">
      <w:pPr>
        <w:pStyle w:val="FootnoteText"/>
      </w:pPr>
      <w:r>
        <w:rPr>
          <w:rStyle w:val="FootnoteReference"/>
        </w:rPr>
        <w:footnoteRef/>
      </w:r>
      <w:r>
        <w:t xml:space="preserve"> For the aggregator programs, nominations are used in place of enrollments, since only nominated customers provide load impacts.</w:t>
      </w:r>
    </w:p>
  </w:footnote>
  <w:footnote w:id="19">
    <w:p w:rsidR="00030F3E" w:rsidRDefault="00030F3E" w:rsidP="00813579">
      <w:pPr>
        <w:pStyle w:val="FootnoteText"/>
      </w:pPr>
      <w:r>
        <w:rPr>
          <w:rStyle w:val="FootnoteReference"/>
        </w:rPr>
        <w:footnoteRef/>
      </w:r>
      <w:r>
        <w:t xml:space="preserve"> A review of customer-level data indicates that the relatively smaller aggregate load impacts for CBP DA in 2012 were due to smaller estimated load impacts for one or both of two large service accounts that make up as much as 80 to 90 percent of the program load impacts. The rebound in aggregate load impact in 2013 and 2014 was caused largely by a return to previous performance by those two service accounts.</w:t>
      </w:r>
    </w:p>
  </w:footnote>
  <w:footnote w:id="20">
    <w:p w:rsidR="00030F3E" w:rsidRPr="00A73D67" w:rsidRDefault="00030F3E" w:rsidP="00B30565">
      <w:pPr>
        <w:pStyle w:val="FootnoteText"/>
      </w:pPr>
      <w:r w:rsidRPr="00A73D67">
        <w:rPr>
          <w:rStyle w:val="FootnoteReference"/>
        </w:rPr>
        <w:footnoteRef/>
      </w:r>
      <w:r w:rsidRPr="00A73D67">
        <w:t xml:space="preserve"> THI = </w:t>
      </w:r>
      <w:r w:rsidRPr="00A73D67">
        <w:rPr>
          <w:i/>
        </w:rPr>
        <w:t>T</w:t>
      </w:r>
      <w:r w:rsidRPr="00A73D67">
        <w:t xml:space="preserve"> – 0.55 x (1 – </w:t>
      </w:r>
      <w:r w:rsidRPr="00A73D67">
        <w:rPr>
          <w:i/>
        </w:rPr>
        <w:t>HUM</w:t>
      </w:r>
      <w:r w:rsidRPr="00A73D67">
        <w:t>) x (</w:t>
      </w:r>
      <w:r w:rsidRPr="00A73D67">
        <w:rPr>
          <w:i/>
        </w:rPr>
        <w:t>T</w:t>
      </w:r>
      <w:r w:rsidRPr="00A73D67">
        <w:t xml:space="preserve"> – 58) if </w:t>
      </w:r>
      <w:r w:rsidRPr="00A73D67">
        <w:rPr>
          <w:i/>
        </w:rPr>
        <w:t>T</w:t>
      </w:r>
      <w:r w:rsidRPr="00A73D67">
        <w:t xml:space="preserve">&gt;=58 or THI = </w:t>
      </w:r>
      <w:r w:rsidRPr="00A73D67">
        <w:rPr>
          <w:i/>
        </w:rPr>
        <w:t>T</w:t>
      </w:r>
      <w:r w:rsidRPr="00A73D67">
        <w:t xml:space="preserve"> if </w:t>
      </w:r>
      <w:r w:rsidRPr="00A73D67">
        <w:rPr>
          <w:i/>
        </w:rPr>
        <w:t>T</w:t>
      </w:r>
      <w:r w:rsidRPr="00A73D67">
        <w:t xml:space="preserve">&lt;58, where </w:t>
      </w:r>
      <w:r w:rsidRPr="00A73D67">
        <w:rPr>
          <w:i/>
        </w:rPr>
        <w:t>T</w:t>
      </w:r>
      <w:r w:rsidRPr="00A73D67">
        <w:t xml:space="preserve"> = ambient dry-bulb temperature in degrees Fahrenheit and </w:t>
      </w:r>
      <w:r w:rsidRPr="00A73D67">
        <w:rPr>
          <w:i/>
        </w:rPr>
        <w:t>HUM</w:t>
      </w:r>
      <w:r w:rsidRPr="00A73D67">
        <w:t xml:space="preserve"> = relative humidity (where 10 percent is expressed as </w:t>
      </w:r>
      <w:r>
        <w:t>“</w:t>
      </w:r>
      <w:r w:rsidRPr="00A73D67">
        <w:t>0.10</w:t>
      </w:r>
      <w:r>
        <w:t>”</w:t>
      </w:r>
      <w:r w:rsidRPr="00A73D67">
        <w:t>).</w:t>
      </w:r>
    </w:p>
  </w:footnote>
  <w:footnote w:id="21">
    <w:p w:rsidR="00030F3E" w:rsidRPr="00A73D67" w:rsidRDefault="00030F3E" w:rsidP="00B30565">
      <w:pPr>
        <w:pStyle w:val="FootnoteText"/>
      </w:pPr>
      <w:r w:rsidRPr="00A73D67">
        <w:rPr>
          <w:rStyle w:val="FootnoteReference"/>
        </w:rPr>
        <w:footnoteRef/>
      </w:r>
      <w:r w:rsidRPr="00A73D67">
        <w:t xml:space="preserve"> HI = </w:t>
      </w:r>
      <w:r w:rsidRPr="00A73D67">
        <w:rPr>
          <w:i/>
        </w:rPr>
        <w:t>c</w:t>
      </w:r>
      <w:r w:rsidRPr="00A73D67">
        <w:rPr>
          <w:vertAlign w:val="subscript"/>
        </w:rPr>
        <w:t>1</w:t>
      </w:r>
      <w:r w:rsidRPr="00A73D67">
        <w:t xml:space="preserve"> + </w:t>
      </w:r>
      <w:r w:rsidRPr="00A73D67">
        <w:rPr>
          <w:i/>
        </w:rPr>
        <w:t>c</w:t>
      </w:r>
      <w:r w:rsidRPr="00A73D67">
        <w:rPr>
          <w:vertAlign w:val="subscript"/>
        </w:rPr>
        <w:t>2</w:t>
      </w:r>
      <w:r w:rsidRPr="00A73D67">
        <w:rPr>
          <w:i/>
        </w:rPr>
        <w:t>T</w:t>
      </w:r>
      <w:r w:rsidRPr="00A73D67">
        <w:t xml:space="preserve"> + </w:t>
      </w:r>
      <w:r w:rsidRPr="00A73D67">
        <w:rPr>
          <w:i/>
        </w:rPr>
        <w:t>c</w:t>
      </w:r>
      <w:r w:rsidRPr="00A73D67">
        <w:rPr>
          <w:vertAlign w:val="subscript"/>
        </w:rPr>
        <w:t>3</w:t>
      </w:r>
      <w:r w:rsidRPr="00A73D67">
        <w:rPr>
          <w:i/>
        </w:rPr>
        <w:t>R</w:t>
      </w:r>
      <w:r w:rsidRPr="00A73D67">
        <w:t xml:space="preserve"> + </w:t>
      </w:r>
      <w:r w:rsidRPr="00A73D67">
        <w:rPr>
          <w:i/>
        </w:rPr>
        <w:t>c</w:t>
      </w:r>
      <w:r w:rsidRPr="00A73D67">
        <w:rPr>
          <w:vertAlign w:val="subscript"/>
        </w:rPr>
        <w:t>4</w:t>
      </w:r>
      <w:r w:rsidRPr="00A73D67">
        <w:rPr>
          <w:i/>
        </w:rPr>
        <w:t>TR</w:t>
      </w:r>
      <w:r w:rsidRPr="00A73D67">
        <w:t xml:space="preserve"> + </w:t>
      </w:r>
      <w:r w:rsidRPr="00A73D67">
        <w:rPr>
          <w:i/>
        </w:rPr>
        <w:t>c</w:t>
      </w:r>
      <w:r w:rsidRPr="00A73D67">
        <w:rPr>
          <w:vertAlign w:val="subscript"/>
        </w:rPr>
        <w:t>5</w:t>
      </w:r>
      <w:r w:rsidRPr="00A73D67">
        <w:rPr>
          <w:i/>
        </w:rPr>
        <w:t>T</w:t>
      </w:r>
      <w:r w:rsidRPr="00A73D67">
        <w:rPr>
          <w:vertAlign w:val="superscript"/>
        </w:rPr>
        <w:t>2</w:t>
      </w:r>
      <w:r w:rsidRPr="00A73D67">
        <w:t xml:space="preserve"> + </w:t>
      </w:r>
      <w:r w:rsidRPr="00A73D67">
        <w:rPr>
          <w:i/>
        </w:rPr>
        <w:t>c</w:t>
      </w:r>
      <w:r w:rsidRPr="00A73D67">
        <w:rPr>
          <w:vertAlign w:val="subscript"/>
        </w:rPr>
        <w:t>6</w:t>
      </w:r>
      <w:r w:rsidRPr="00A73D67">
        <w:rPr>
          <w:i/>
        </w:rPr>
        <w:t>R</w:t>
      </w:r>
      <w:r w:rsidRPr="00A73D67">
        <w:rPr>
          <w:vertAlign w:val="superscript"/>
        </w:rPr>
        <w:t>2</w:t>
      </w:r>
      <w:r w:rsidRPr="00A73D67">
        <w:t xml:space="preserve"> + </w:t>
      </w:r>
      <w:r w:rsidRPr="00A73D67">
        <w:rPr>
          <w:i/>
        </w:rPr>
        <w:t>c</w:t>
      </w:r>
      <w:r w:rsidRPr="00A73D67">
        <w:rPr>
          <w:vertAlign w:val="subscript"/>
        </w:rPr>
        <w:t>7</w:t>
      </w:r>
      <w:r w:rsidRPr="00A73D67">
        <w:rPr>
          <w:i/>
        </w:rPr>
        <w:t>T</w:t>
      </w:r>
      <w:r w:rsidRPr="00A73D67">
        <w:rPr>
          <w:vertAlign w:val="superscript"/>
        </w:rPr>
        <w:t>2</w:t>
      </w:r>
      <w:r w:rsidRPr="00A73D67">
        <w:rPr>
          <w:i/>
        </w:rPr>
        <w:t>R</w:t>
      </w:r>
      <w:r w:rsidRPr="00A73D67">
        <w:t xml:space="preserve"> + </w:t>
      </w:r>
      <w:r w:rsidRPr="00A73D67">
        <w:rPr>
          <w:i/>
        </w:rPr>
        <w:t>c</w:t>
      </w:r>
      <w:r w:rsidRPr="00A73D67">
        <w:rPr>
          <w:vertAlign w:val="subscript"/>
        </w:rPr>
        <w:t>8</w:t>
      </w:r>
      <w:r w:rsidRPr="00A73D67">
        <w:rPr>
          <w:i/>
        </w:rPr>
        <w:t>TR</w:t>
      </w:r>
      <w:r w:rsidRPr="00A73D67">
        <w:rPr>
          <w:vertAlign w:val="superscript"/>
        </w:rPr>
        <w:t>2</w:t>
      </w:r>
      <w:r w:rsidRPr="00A73D67">
        <w:t xml:space="preserve"> + </w:t>
      </w:r>
      <w:r w:rsidRPr="00A73D67">
        <w:rPr>
          <w:i/>
        </w:rPr>
        <w:t>c</w:t>
      </w:r>
      <w:r w:rsidRPr="00A73D67">
        <w:rPr>
          <w:vertAlign w:val="subscript"/>
        </w:rPr>
        <w:t>9</w:t>
      </w:r>
      <w:r w:rsidRPr="00A73D67">
        <w:rPr>
          <w:i/>
        </w:rPr>
        <w:t>T</w:t>
      </w:r>
      <w:r w:rsidRPr="00A73D67">
        <w:rPr>
          <w:vertAlign w:val="superscript"/>
        </w:rPr>
        <w:t>2</w:t>
      </w:r>
      <w:r w:rsidRPr="00A73D67">
        <w:rPr>
          <w:i/>
        </w:rPr>
        <w:t>R</w:t>
      </w:r>
      <w:r w:rsidRPr="00A73D67">
        <w:rPr>
          <w:vertAlign w:val="superscript"/>
        </w:rPr>
        <w:t>2</w:t>
      </w:r>
      <w:r w:rsidRPr="00A73D67">
        <w:t xml:space="preserve"> + </w:t>
      </w:r>
      <w:r w:rsidRPr="00A73D67">
        <w:rPr>
          <w:i/>
        </w:rPr>
        <w:t>c</w:t>
      </w:r>
      <w:r w:rsidRPr="00A73D67">
        <w:rPr>
          <w:vertAlign w:val="subscript"/>
        </w:rPr>
        <w:t>10</w:t>
      </w:r>
      <w:r w:rsidRPr="00A73D67">
        <w:rPr>
          <w:i/>
        </w:rPr>
        <w:t>T</w:t>
      </w:r>
      <w:r w:rsidRPr="00A73D67">
        <w:rPr>
          <w:vertAlign w:val="superscript"/>
        </w:rPr>
        <w:t>3</w:t>
      </w:r>
      <w:r w:rsidRPr="00A73D67">
        <w:t xml:space="preserve"> + </w:t>
      </w:r>
      <w:r w:rsidRPr="00A73D67">
        <w:rPr>
          <w:i/>
        </w:rPr>
        <w:t>c</w:t>
      </w:r>
      <w:r w:rsidRPr="00A73D67">
        <w:rPr>
          <w:vertAlign w:val="subscript"/>
        </w:rPr>
        <w:t>11</w:t>
      </w:r>
      <w:r w:rsidRPr="00A73D67">
        <w:rPr>
          <w:i/>
        </w:rPr>
        <w:t>R</w:t>
      </w:r>
      <w:r w:rsidRPr="00A73D67">
        <w:rPr>
          <w:vertAlign w:val="superscript"/>
        </w:rPr>
        <w:t>3</w:t>
      </w:r>
      <w:r w:rsidRPr="00A73D67">
        <w:t xml:space="preserve"> + </w:t>
      </w:r>
      <w:r w:rsidRPr="00A73D67">
        <w:rPr>
          <w:i/>
        </w:rPr>
        <w:t>c</w:t>
      </w:r>
      <w:r w:rsidRPr="00A73D67">
        <w:rPr>
          <w:vertAlign w:val="subscript"/>
        </w:rPr>
        <w:t>12</w:t>
      </w:r>
      <w:r w:rsidRPr="00A73D67">
        <w:rPr>
          <w:i/>
        </w:rPr>
        <w:t>T</w:t>
      </w:r>
      <w:r w:rsidRPr="00A73D67">
        <w:rPr>
          <w:vertAlign w:val="superscript"/>
        </w:rPr>
        <w:t>3</w:t>
      </w:r>
      <w:r w:rsidRPr="00A73D67">
        <w:rPr>
          <w:i/>
        </w:rPr>
        <w:t>R</w:t>
      </w:r>
      <w:r w:rsidRPr="00A73D67">
        <w:t xml:space="preserve"> + </w:t>
      </w:r>
      <w:r w:rsidRPr="00A73D67">
        <w:rPr>
          <w:i/>
        </w:rPr>
        <w:t>c</w:t>
      </w:r>
      <w:r w:rsidRPr="00A73D67">
        <w:rPr>
          <w:vertAlign w:val="subscript"/>
        </w:rPr>
        <w:t>13</w:t>
      </w:r>
      <w:r w:rsidRPr="00A73D67">
        <w:rPr>
          <w:i/>
        </w:rPr>
        <w:t>TR</w:t>
      </w:r>
      <w:r w:rsidRPr="00A73D67">
        <w:rPr>
          <w:vertAlign w:val="superscript"/>
        </w:rPr>
        <w:t>3</w:t>
      </w:r>
      <w:r w:rsidRPr="00A73D67">
        <w:t xml:space="preserve"> + </w:t>
      </w:r>
      <w:r w:rsidRPr="00A73D67">
        <w:rPr>
          <w:i/>
        </w:rPr>
        <w:t>c</w:t>
      </w:r>
      <w:r w:rsidRPr="00A73D67">
        <w:rPr>
          <w:vertAlign w:val="subscript"/>
        </w:rPr>
        <w:t>14</w:t>
      </w:r>
      <w:r w:rsidRPr="00A73D67">
        <w:rPr>
          <w:i/>
        </w:rPr>
        <w:t>T</w:t>
      </w:r>
      <w:r w:rsidRPr="00A73D67">
        <w:rPr>
          <w:vertAlign w:val="superscript"/>
        </w:rPr>
        <w:t>3</w:t>
      </w:r>
      <w:r w:rsidRPr="00A73D67">
        <w:rPr>
          <w:i/>
        </w:rPr>
        <w:t>R</w:t>
      </w:r>
      <w:r w:rsidRPr="00A73D67">
        <w:rPr>
          <w:vertAlign w:val="superscript"/>
        </w:rPr>
        <w:t>2</w:t>
      </w:r>
      <w:r w:rsidRPr="00A73D67">
        <w:t xml:space="preserve"> + </w:t>
      </w:r>
      <w:r w:rsidRPr="00A73D67">
        <w:rPr>
          <w:i/>
        </w:rPr>
        <w:t>c</w:t>
      </w:r>
      <w:r w:rsidRPr="00A73D67">
        <w:rPr>
          <w:vertAlign w:val="subscript"/>
        </w:rPr>
        <w:t>15</w:t>
      </w:r>
      <w:r w:rsidRPr="00A73D67">
        <w:rPr>
          <w:i/>
        </w:rPr>
        <w:t>T</w:t>
      </w:r>
      <w:r w:rsidRPr="00A73D67">
        <w:rPr>
          <w:vertAlign w:val="superscript"/>
        </w:rPr>
        <w:t>2</w:t>
      </w:r>
      <w:r w:rsidRPr="00A73D67">
        <w:rPr>
          <w:i/>
        </w:rPr>
        <w:t>R</w:t>
      </w:r>
      <w:r w:rsidRPr="00A73D67">
        <w:rPr>
          <w:vertAlign w:val="superscript"/>
        </w:rPr>
        <w:t>3</w:t>
      </w:r>
      <w:r w:rsidRPr="00A73D67">
        <w:t xml:space="preserve"> + </w:t>
      </w:r>
      <w:r w:rsidRPr="00A73D67">
        <w:rPr>
          <w:i/>
        </w:rPr>
        <w:t>c</w:t>
      </w:r>
      <w:r w:rsidRPr="00A73D67">
        <w:rPr>
          <w:vertAlign w:val="subscript"/>
        </w:rPr>
        <w:t>16</w:t>
      </w:r>
      <w:r w:rsidRPr="00A73D67">
        <w:rPr>
          <w:i/>
        </w:rPr>
        <w:t>T</w:t>
      </w:r>
      <w:r w:rsidRPr="00A73D67">
        <w:rPr>
          <w:vertAlign w:val="superscript"/>
        </w:rPr>
        <w:t>3</w:t>
      </w:r>
      <w:r w:rsidRPr="00A73D67">
        <w:rPr>
          <w:i/>
        </w:rPr>
        <w:t>R</w:t>
      </w:r>
      <w:r w:rsidRPr="00A73D67">
        <w:rPr>
          <w:vertAlign w:val="superscript"/>
        </w:rPr>
        <w:t>3</w:t>
      </w:r>
      <w:r w:rsidRPr="00A73D67">
        <w:t xml:space="preserve">, where </w:t>
      </w:r>
      <w:r w:rsidRPr="00A73D67">
        <w:rPr>
          <w:i/>
        </w:rPr>
        <w:t>T</w:t>
      </w:r>
      <w:r w:rsidRPr="00A73D67">
        <w:t xml:space="preserve"> = ambient dry-bulb temperature in degrees Fahrenheit and </w:t>
      </w:r>
      <w:r w:rsidRPr="00A73D67">
        <w:rPr>
          <w:i/>
        </w:rPr>
        <w:t>R</w:t>
      </w:r>
      <w:r w:rsidRPr="00A73D67">
        <w:t xml:space="preserve"> = relative humidity (where 10 percent is expressed as </w:t>
      </w:r>
      <w:r>
        <w:t>“</w:t>
      </w:r>
      <w:r w:rsidRPr="00A73D67">
        <w:t>10</w:t>
      </w:r>
      <w:r>
        <w:t>”</w:t>
      </w:r>
      <w:r w:rsidRPr="00A73D67">
        <w:t xml:space="preserve">). The values for the various </w:t>
      </w:r>
      <w:r w:rsidRPr="00A73D67">
        <w:rPr>
          <w:i/>
        </w:rPr>
        <w:t>c</w:t>
      </w:r>
      <w:r>
        <w:t>’</w:t>
      </w:r>
      <w:r w:rsidRPr="00A73D67">
        <w:t xml:space="preserve">s may be found here: </w:t>
      </w:r>
      <w:hyperlink r:id="rId1" w:history="1">
        <w:r w:rsidRPr="00A73D67">
          <w:rPr>
            <w:rStyle w:val="Hyperlink"/>
          </w:rPr>
          <w:t>http://en.wikipedia.org/wiki/Heat_index</w:t>
        </w:r>
      </w:hyperlink>
      <w:r w:rsidRPr="00A73D67">
        <w:t>.</w:t>
      </w:r>
    </w:p>
  </w:footnote>
  <w:footnote w:id="22">
    <w:p w:rsidR="00030F3E" w:rsidRPr="00A73D67" w:rsidRDefault="00030F3E" w:rsidP="00B30565">
      <w:pPr>
        <w:pStyle w:val="FootnoteText"/>
      </w:pPr>
      <w:r w:rsidRPr="00A73D67">
        <w:rPr>
          <w:rStyle w:val="FootnoteReference"/>
        </w:rPr>
        <w:footnoteRef/>
      </w:r>
      <w:r w:rsidRPr="00A73D67">
        <w:t xml:space="preserve"> Cooling degree hours (CDH) was defined as MAX[0, Temperature – Threshold], where Temperature is the hourly temperature in degrees Fahrenheit and Threshold is either 60 or 65 degrees Fahrenheit. Customer-specific CDH values are calculated using data from the most appropriate weather station.</w:t>
      </w:r>
    </w:p>
  </w:footnote>
  <w:footnote w:id="23">
    <w:p w:rsidR="00030F3E" w:rsidRPr="00A73D67" w:rsidRDefault="00030F3E" w:rsidP="00B30565">
      <w:pPr>
        <w:pStyle w:val="FootnoteText"/>
      </w:pPr>
      <w:r w:rsidRPr="00A73D67">
        <w:rPr>
          <w:rStyle w:val="FootnoteReference"/>
        </w:rPr>
        <w:footnoteRef/>
      </w:r>
      <w:r w:rsidRPr="00A73D67">
        <w:t xml:space="preserve"> Cooling degree days (CDD) are defined as MAX[0, (Max Temp + Min Temp) / 2 – 60], where Max Temp is the daily maximum temperature in degrees Fahrenheit and Min Temp is the daily minimum temperature. Customer-specific CDD values are calculated using data from the most appropriate weather station.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F3E" w:rsidRDefault="00030F3E">
    <w:pPr>
      <w:pStyle w:val="Header"/>
    </w:pPr>
    <w:r w:rsidRPr="00365214">
      <w:rPr>
        <w:noProof/>
      </w:rPr>
      <w:drawing>
        <wp:inline distT="0" distB="0" distL="0" distR="0" wp14:anchorId="75F096B1" wp14:editId="29D1F8F7">
          <wp:extent cx="3264535" cy="1005840"/>
          <wp:effectExtent l="0" t="0" r="0" b="3810"/>
          <wp:docPr id="64" name="Picture 10" descr="CA Energy Consul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 Energy Consulting"/>
                  <pic:cNvPicPr>
                    <a:picLocks noChangeAspect="1" noChangeArrowheads="1"/>
                  </pic:cNvPicPr>
                </pic:nvPicPr>
                <pic:blipFill>
                  <a:blip r:embed="rId1">
                    <a:extLst>
                      <a:ext uri="{28A0092B-C50C-407E-A947-70E740481C1C}">
                        <a14:useLocalDpi xmlns:a14="http://schemas.microsoft.com/office/drawing/2010/main" val="0"/>
                      </a:ext>
                    </a:extLst>
                  </a:blip>
                  <a:srcRect l="12318"/>
                  <a:stretch>
                    <a:fillRect/>
                  </a:stretch>
                </pic:blipFill>
                <pic:spPr bwMode="auto">
                  <a:xfrm>
                    <a:off x="0" y="0"/>
                    <a:ext cx="3264535" cy="10058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F3E" w:rsidRDefault="00030F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1335"/>
    <w:multiLevelType w:val="hybridMultilevel"/>
    <w:tmpl w:val="FD1834B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154202"/>
    <w:multiLevelType w:val="hybridMultilevel"/>
    <w:tmpl w:val="085E45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9B549B"/>
    <w:multiLevelType w:val="multilevel"/>
    <w:tmpl w:val="8BEE9C32"/>
    <w:lvl w:ilvl="0">
      <w:start w:val="1"/>
      <w:numFmt w:val="decimal"/>
      <w:lvlText w:val="%1."/>
      <w:lvlJc w:val="left"/>
      <w:pPr>
        <w:tabs>
          <w:tab w:val="num" w:pos="0"/>
        </w:tabs>
        <w:ind w:left="0" w:firstLine="0"/>
      </w:pPr>
      <w:rPr>
        <w:rFonts w:hint="default"/>
      </w:rPr>
    </w:lvl>
    <w:lvl w:ilvl="1">
      <w:start w:val="4"/>
      <w:numFmt w:val="decimal"/>
      <w:lvlText w:val="%1.%2"/>
      <w:lvlJc w:val="left"/>
      <w:pPr>
        <w:tabs>
          <w:tab w:val="num" w:pos="-360"/>
        </w:tabs>
        <w:ind w:left="-360" w:hanging="72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720"/>
        </w:tabs>
        <w:ind w:left="72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2880"/>
        </w:tabs>
        <w:ind w:left="288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
    <w:nsid w:val="09C868DA"/>
    <w:multiLevelType w:val="hybridMultilevel"/>
    <w:tmpl w:val="856AA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E416F1"/>
    <w:multiLevelType w:val="multilevel"/>
    <w:tmpl w:val="11F4F950"/>
    <w:lvl w:ilvl="0">
      <w:start w:val="1"/>
      <w:numFmt w:val="decimal"/>
      <w:pStyle w:val="Heading1"/>
      <w:lvlText w:val="%1."/>
      <w:lvlJc w:val="left"/>
      <w:pPr>
        <w:tabs>
          <w:tab w:val="num" w:pos="0"/>
        </w:tabs>
        <w:ind w:left="0" w:firstLine="0"/>
      </w:pPr>
      <w:rPr>
        <w:rFonts w:hint="default"/>
      </w:rPr>
    </w:lvl>
    <w:lvl w:ilvl="1">
      <w:start w:val="4"/>
      <w:numFmt w:val="decimal"/>
      <w:lvlText w:val="%1.%2"/>
      <w:lvlJc w:val="left"/>
      <w:pPr>
        <w:tabs>
          <w:tab w:val="num" w:pos="-360"/>
        </w:tabs>
        <w:ind w:left="-360" w:hanging="72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720"/>
        </w:tabs>
        <w:ind w:left="72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2880"/>
        </w:tabs>
        <w:ind w:left="288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5">
    <w:nsid w:val="0E934BEB"/>
    <w:multiLevelType w:val="hybridMultilevel"/>
    <w:tmpl w:val="5B124B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46F20E9"/>
    <w:multiLevelType w:val="hybridMultilevel"/>
    <w:tmpl w:val="895AEBFE"/>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7B6E4C"/>
    <w:multiLevelType w:val="hybridMultilevel"/>
    <w:tmpl w:val="65D87080"/>
    <w:lvl w:ilvl="0" w:tplc="EE524F82">
      <w:start w:val="1"/>
      <w:numFmt w:val="decimal"/>
      <w:lvlText w:val="%1)"/>
      <w:lvlJc w:val="left"/>
      <w:pPr>
        <w:ind w:left="108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52662D"/>
    <w:multiLevelType w:val="hybridMultilevel"/>
    <w:tmpl w:val="416E9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04193D"/>
    <w:multiLevelType w:val="hybridMultilevel"/>
    <w:tmpl w:val="C70EF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192004"/>
    <w:multiLevelType w:val="hybridMultilevel"/>
    <w:tmpl w:val="568EDB0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1A7305B"/>
    <w:multiLevelType w:val="hybridMultilevel"/>
    <w:tmpl w:val="50A067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14425F"/>
    <w:multiLevelType w:val="hybridMultilevel"/>
    <w:tmpl w:val="DA9C2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29036A5"/>
    <w:multiLevelType w:val="hybridMultilevel"/>
    <w:tmpl w:val="2220A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3030CA"/>
    <w:multiLevelType w:val="hybridMultilevel"/>
    <w:tmpl w:val="04FA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823118"/>
    <w:multiLevelType w:val="hybridMultilevel"/>
    <w:tmpl w:val="8DA456FE"/>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5A7E60"/>
    <w:multiLevelType w:val="hybridMultilevel"/>
    <w:tmpl w:val="0F1E4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63A1229"/>
    <w:multiLevelType w:val="hybridMultilevel"/>
    <w:tmpl w:val="AAFE5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EF20CEE"/>
    <w:multiLevelType w:val="hybridMultilevel"/>
    <w:tmpl w:val="DEE69C02"/>
    <w:lvl w:ilvl="0" w:tplc="10C46E5A">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8355E45"/>
    <w:multiLevelType w:val="hybridMultilevel"/>
    <w:tmpl w:val="9F143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197979"/>
    <w:multiLevelType w:val="hybridMultilevel"/>
    <w:tmpl w:val="ADA646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9"/>
  </w:num>
  <w:num w:numId="4">
    <w:abstractNumId w:val="20"/>
  </w:num>
  <w:num w:numId="5">
    <w:abstractNumId w:val="17"/>
  </w:num>
  <w:num w:numId="6">
    <w:abstractNumId w:val="6"/>
  </w:num>
  <w:num w:numId="7">
    <w:abstractNumId w:val="12"/>
  </w:num>
  <w:num w:numId="8">
    <w:abstractNumId w:val="3"/>
  </w:num>
  <w:num w:numId="9">
    <w:abstractNumId w:val="8"/>
  </w:num>
  <w:num w:numId="10">
    <w:abstractNumId w:val="1"/>
  </w:num>
  <w:num w:numId="11">
    <w:abstractNumId w:val="19"/>
  </w:num>
  <w:num w:numId="12">
    <w:abstractNumId w:val="16"/>
  </w:num>
  <w:num w:numId="13">
    <w:abstractNumId w:val="0"/>
  </w:num>
  <w:num w:numId="14">
    <w:abstractNumId w:val="14"/>
  </w:num>
  <w:num w:numId="15">
    <w:abstractNumId w:val="7"/>
  </w:num>
  <w:num w:numId="16">
    <w:abstractNumId w:val="18"/>
  </w:num>
  <w:num w:numId="17">
    <w:abstractNumId w:val="10"/>
  </w:num>
  <w:num w:numId="18">
    <w:abstractNumId w:val="15"/>
  </w:num>
  <w:num w:numId="19">
    <w:abstractNumId w:val="11"/>
  </w:num>
  <w:num w:numId="20">
    <w:abstractNumId w:val="2"/>
  </w:num>
  <w:num w:numId="21">
    <w:abstractNumId w:val="1"/>
  </w:num>
  <w:num w:numId="22">
    <w:abstractNumId w:val="19"/>
  </w:num>
  <w:num w:numId="23">
    <w:abstractNumId w:val="16"/>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E2D"/>
    <w:rsid w:val="00003143"/>
    <w:rsid w:val="0000525E"/>
    <w:rsid w:val="00006061"/>
    <w:rsid w:val="000077AB"/>
    <w:rsid w:val="0001003E"/>
    <w:rsid w:val="000143ED"/>
    <w:rsid w:val="00014920"/>
    <w:rsid w:val="000209BE"/>
    <w:rsid w:val="0002410E"/>
    <w:rsid w:val="000249A3"/>
    <w:rsid w:val="00026533"/>
    <w:rsid w:val="00030F3E"/>
    <w:rsid w:val="00031C3C"/>
    <w:rsid w:val="00032579"/>
    <w:rsid w:val="00033EF3"/>
    <w:rsid w:val="0003713B"/>
    <w:rsid w:val="00041571"/>
    <w:rsid w:val="00042525"/>
    <w:rsid w:val="00045984"/>
    <w:rsid w:val="00047A87"/>
    <w:rsid w:val="0005654C"/>
    <w:rsid w:val="000643DE"/>
    <w:rsid w:val="000650F0"/>
    <w:rsid w:val="00066502"/>
    <w:rsid w:val="00067F77"/>
    <w:rsid w:val="0007304F"/>
    <w:rsid w:val="000744FA"/>
    <w:rsid w:val="00075250"/>
    <w:rsid w:val="00076A3A"/>
    <w:rsid w:val="00077984"/>
    <w:rsid w:val="00081821"/>
    <w:rsid w:val="00081E44"/>
    <w:rsid w:val="00083A54"/>
    <w:rsid w:val="00086A7F"/>
    <w:rsid w:val="00086C74"/>
    <w:rsid w:val="00091712"/>
    <w:rsid w:val="000A2761"/>
    <w:rsid w:val="000A5F43"/>
    <w:rsid w:val="000B51F6"/>
    <w:rsid w:val="000C057E"/>
    <w:rsid w:val="000C2875"/>
    <w:rsid w:val="000C3B91"/>
    <w:rsid w:val="000C48B7"/>
    <w:rsid w:val="000C5940"/>
    <w:rsid w:val="000C744C"/>
    <w:rsid w:val="000D2492"/>
    <w:rsid w:val="000D38E7"/>
    <w:rsid w:val="000E7165"/>
    <w:rsid w:val="00102D5A"/>
    <w:rsid w:val="00105C48"/>
    <w:rsid w:val="00113824"/>
    <w:rsid w:val="0011495B"/>
    <w:rsid w:val="001160AB"/>
    <w:rsid w:val="001165BD"/>
    <w:rsid w:val="00117ABF"/>
    <w:rsid w:val="00117F8A"/>
    <w:rsid w:val="001258D1"/>
    <w:rsid w:val="001260F4"/>
    <w:rsid w:val="00130099"/>
    <w:rsid w:val="00130180"/>
    <w:rsid w:val="00130B7D"/>
    <w:rsid w:val="0013181E"/>
    <w:rsid w:val="00145292"/>
    <w:rsid w:val="0014561D"/>
    <w:rsid w:val="001473CA"/>
    <w:rsid w:val="00153C85"/>
    <w:rsid w:val="0016002C"/>
    <w:rsid w:val="0016251E"/>
    <w:rsid w:val="00165046"/>
    <w:rsid w:val="001669E7"/>
    <w:rsid w:val="001714DB"/>
    <w:rsid w:val="00173615"/>
    <w:rsid w:val="00174282"/>
    <w:rsid w:val="00174F7E"/>
    <w:rsid w:val="00177A01"/>
    <w:rsid w:val="001809F4"/>
    <w:rsid w:val="001854D8"/>
    <w:rsid w:val="00186BA9"/>
    <w:rsid w:val="00187266"/>
    <w:rsid w:val="00191C54"/>
    <w:rsid w:val="001924CB"/>
    <w:rsid w:val="001944CB"/>
    <w:rsid w:val="0019676A"/>
    <w:rsid w:val="001A0F47"/>
    <w:rsid w:val="001A3798"/>
    <w:rsid w:val="001A4BFA"/>
    <w:rsid w:val="001B6EAA"/>
    <w:rsid w:val="001B7DA4"/>
    <w:rsid w:val="001C42F8"/>
    <w:rsid w:val="001C4443"/>
    <w:rsid w:val="001D05AD"/>
    <w:rsid w:val="001D2C6A"/>
    <w:rsid w:val="001E119E"/>
    <w:rsid w:val="001E6089"/>
    <w:rsid w:val="001E7B56"/>
    <w:rsid w:val="001E7F30"/>
    <w:rsid w:val="001F1145"/>
    <w:rsid w:val="001F1D3E"/>
    <w:rsid w:val="001F33E7"/>
    <w:rsid w:val="001F3C97"/>
    <w:rsid w:val="001F3ED4"/>
    <w:rsid w:val="001F6B12"/>
    <w:rsid w:val="001F732B"/>
    <w:rsid w:val="00204E4C"/>
    <w:rsid w:val="00211752"/>
    <w:rsid w:val="0021345F"/>
    <w:rsid w:val="002142FE"/>
    <w:rsid w:val="002150AB"/>
    <w:rsid w:val="00226117"/>
    <w:rsid w:val="00230955"/>
    <w:rsid w:val="002323B2"/>
    <w:rsid w:val="00233068"/>
    <w:rsid w:val="00237DB2"/>
    <w:rsid w:val="00244AC7"/>
    <w:rsid w:val="00245A70"/>
    <w:rsid w:val="00246DA7"/>
    <w:rsid w:val="00251C77"/>
    <w:rsid w:val="0025506F"/>
    <w:rsid w:val="00255F65"/>
    <w:rsid w:val="002564BF"/>
    <w:rsid w:val="00260C1C"/>
    <w:rsid w:val="00261465"/>
    <w:rsid w:val="00266226"/>
    <w:rsid w:val="00270444"/>
    <w:rsid w:val="002707D2"/>
    <w:rsid w:val="00274937"/>
    <w:rsid w:val="00276337"/>
    <w:rsid w:val="00281571"/>
    <w:rsid w:val="00283CEF"/>
    <w:rsid w:val="00285518"/>
    <w:rsid w:val="00292698"/>
    <w:rsid w:val="00292D3C"/>
    <w:rsid w:val="002961ED"/>
    <w:rsid w:val="00296D3A"/>
    <w:rsid w:val="002A0493"/>
    <w:rsid w:val="002A25AE"/>
    <w:rsid w:val="002A4CC1"/>
    <w:rsid w:val="002B30C5"/>
    <w:rsid w:val="002B4774"/>
    <w:rsid w:val="002B53B3"/>
    <w:rsid w:val="002B75B0"/>
    <w:rsid w:val="002B778B"/>
    <w:rsid w:val="002C123B"/>
    <w:rsid w:val="002C1306"/>
    <w:rsid w:val="002C5450"/>
    <w:rsid w:val="002D0490"/>
    <w:rsid w:val="002D0D86"/>
    <w:rsid w:val="002D1557"/>
    <w:rsid w:val="002D41C7"/>
    <w:rsid w:val="002D7696"/>
    <w:rsid w:val="002E5F5E"/>
    <w:rsid w:val="002E7975"/>
    <w:rsid w:val="002F17F0"/>
    <w:rsid w:val="002F24DB"/>
    <w:rsid w:val="002F293B"/>
    <w:rsid w:val="00300DD6"/>
    <w:rsid w:val="003037E2"/>
    <w:rsid w:val="0030471E"/>
    <w:rsid w:val="003066BC"/>
    <w:rsid w:val="0030740C"/>
    <w:rsid w:val="00315386"/>
    <w:rsid w:val="00322A4C"/>
    <w:rsid w:val="00323094"/>
    <w:rsid w:val="0032323D"/>
    <w:rsid w:val="0032387A"/>
    <w:rsid w:val="00324BBC"/>
    <w:rsid w:val="00326F14"/>
    <w:rsid w:val="0033041B"/>
    <w:rsid w:val="00331644"/>
    <w:rsid w:val="00332042"/>
    <w:rsid w:val="003329BA"/>
    <w:rsid w:val="00333077"/>
    <w:rsid w:val="00333EE5"/>
    <w:rsid w:val="0033406C"/>
    <w:rsid w:val="00337658"/>
    <w:rsid w:val="00340676"/>
    <w:rsid w:val="003413D8"/>
    <w:rsid w:val="00342597"/>
    <w:rsid w:val="00343C25"/>
    <w:rsid w:val="003449E1"/>
    <w:rsid w:val="00345B9B"/>
    <w:rsid w:val="003613BE"/>
    <w:rsid w:val="00361D51"/>
    <w:rsid w:val="00361E63"/>
    <w:rsid w:val="00361E97"/>
    <w:rsid w:val="00362E25"/>
    <w:rsid w:val="00363EF0"/>
    <w:rsid w:val="00367ECF"/>
    <w:rsid w:val="00370BE8"/>
    <w:rsid w:val="00370D7D"/>
    <w:rsid w:val="003730AB"/>
    <w:rsid w:val="00382163"/>
    <w:rsid w:val="003837C6"/>
    <w:rsid w:val="003911DA"/>
    <w:rsid w:val="003A4620"/>
    <w:rsid w:val="003A58BF"/>
    <w:rsid w:val="003B04C1"/>
    <w:rsid w:val="003B0D7D"/>
    <w:rsid w:val="003B1582"/>
    <w:rsid w:val="003B30DC"/>
    <w:rsid w:val="003B3FED"/>
    <w:rsid w:val="003B44BA"/>
    <w:rsid w:val="003B525C"/>
    <w:rsid w:val="003B5771"/>
    <w:rsid w:val="003C32C3"/>
    <w:rsid w:val="003C4FF0"/>
    <w:rsid w:val="003C5330"/>
    <w:rsid w:val="003C56A8"/>
    <w:rsid w:val="003C5830"/>
    <w:rsid w:val="003C7EAB"/>
    <w:rsid w:val="003D0C3B"/>
    <w:rsid w:val="003D35EC"/>
    <w:rsid w:val="003D4CDB"/>
    <w:rsid w:val="003D6178"/>
    <w:rsid w:val="003D7E14"/>
    <w:rsid w:val="003E240F"/>
    <w:rsid w:val="003F0A13"/>
    <w:rsid w:val="003F2745"/>
    <w:rsid w:val="00401B10"/>
    <w:rsid w:val="00403303"/>
    <w:rsid w:val="004041FE"/>
    <w:rsid w:val="00404FB1"/>
    <w:rsid w:val="00405C85"/>
    <w:rsid w:val="00410238"/>
    <w:rsid w:val="0041095B"/>
    <w:rsid w:val="0041101A"/>
    <w:rsid w:val="00413568"/>
    <w:rsid w:val="0041488A"/>
    <w:rsid w:val="00416610"/>
    <w:rsid w:val="004259DC"/>
    <w:rsid w:val="004266D4"/>
    <w:rsid w:val="00426FA8"/>
    <w:rsid w:val="004402AA"/>
    <w:rsid w:val="00440873"/>
    <w:rsid w:val="00441884"/>
    <w:rsid w:val="00444D6B"/>
    <w:rsid w:val="00446C3E"/>
    <w:rsid w:val="00451367"/>
    <w:rsid w:val="00451394"/>
    <w:rsid w:val="00453601"/>
    <w:rsid w:val="00465841"/>
    <w:rsid w:val="0047061F"/>
    <w:rsid w:val="004802FD"/>
    <w:rsid w:val="004836A7"/>
    <w:rsid w:val="004869F7"/>
    <w:rsid w:val="004977D0"/>
    <w:rsid w:val="004A1D15"/>
    <w:rsid w:val="004A5603"/>
    <w:rsid w:val="004A7BE8"/>
    <w:rsid w:val="004B244D"/>
    <w:rsid w:val="004B3B1D"/>
    <w:rsid w:val="004C36C8"/>
    <w:rsid w:val="004C38E8"/>
    <w:rsid w:val="004C405E"/>
    <w:rsid w:val="004C4FC8"/>
    <w:rsid w:val="004D1C47"/>
    <w:rsid w:val="004D23E2"/>
    <w:rsid w:val="004D6BA0"/>
    <w:rsid w:val="004E78A6"/>
    <w:rsid w:val="004E7D33"/>
    <w:rsid w:val="00500203"/>
    <w:rsid w:val="00502CE4"/>
    <w:rsid w:val="00503325"/>
    <w:rsid w:val="0051015C"/>
    <w:rsid w:val="005122DD"/>
    <w:rsid w:val="00514EDF"/>
    <w:rsid w:val="00516DCC"/>
    <w:rsid w:val="00520A5E"/>
    <w:rsid w:val="00520AEC"/>
    <w:rsid w:val="00520B4B"/>
    <w:rsid w:val="005244AF"/>
    <w:rsid w:val="005333BC"/>
    <w:rsid w:val="00535A95"/>
    <w:rsid w:val="00536195"/>
    <w:rsid w:val="00536EA6"/>
    <w:rsid w:val="00541081"/>
    <w:rsid w:val="00547684"/>
    <w:rsid w:val="00551C9F"/>
    <w:rsid w:val="00552714"/>
    <w:rsid w:val="00557240"/>
    <w:rsid w:val="005608C3"/>
    <w:rsid w:val="00563948"/>
    <w:rsid w:val="00564624"/>
    <w:rsid w:val="0056639A"/>
    <w:rsid w:val="00574C98"/>
    <w:rsid w:val="00575CE6"/>
    <w:rsid w:val="00576DCE"/>
    <w:rsid w:val="00577C72"/>
    <w:rsid w:val="00584CD0"/>
    <w:rsid w:val="005906CE"/>
    <w:rsid w:val="005928FF"/>
    <w:rsid w:val="00595D8E"/>
    <w:rsid w:val="00595F10"/>
    <w:rsid w:val="005A2908"/>
    <w:rsid w:val="005A3C8C"/>
    <w:rsid w:val="005A3F3D"/>
    <w:rsid w:val="005B4578"/>
    <w:rsid w:val="005C4A61"/>
    <w:rsid w:val="005C62B3"/>
    <w:rsid w:val="005C7A57"/>
    <w:rsid w:val="005D0A20"/>
    <w:rsid w:val="005D363E"/>
    <w:rsid w:val="005D5AD4"/>
    <w:rsid w:val="005E19B8"/>
    <w:rsid w:val="005F03E2"/>
    <w:rsid w:val="005F22AA"/>
    <w:rsid w:val="005F71F0"/>
    <w:rsid w:val="005F7678"/>
    <w:rsid w:val="00601602"/>
    <w:rsid w:val="00602F80"/>
    <w:rsid w:val="006047F1"/>
    <w:rsid w:val="00605213"/>
    <w:rsid w:val="00612044"/>
    <w:rsid w:val="0061514C"/>
    <w:rsid w:val="00615765"/>
    <w:rsid w:val="00615FEF"/>
    <w:rsid w:val="00621F33"/>
    <w:rsid w:val="00626B35"/>
    <w:rsid w:val="00627BE0"/>
    <w:rsid w:val="006360BF"/>
    <w:rsid w:val="00640155"/>
    <w:rsid w:val="00640258"/>
    <w:rsid w:val="00645BED"/>
    <w:rsid w:val="0064661E"/>
    <w:rsid w:val="00654AFD"/>
    <w:rsid w:val="00656559"/>
    <w:rsid w:val="006568FF"/>
    <w:rsid w:val="0066009D"/>
    <w:rsid w:val="00666710"/>
    <w:rsid w:val="0067030B"/>
    <w:rsid w:val="0067055A"/>
    <w:rsid w:val="00670E6F"/>
    <w:rsid w:val="006809BB"/>
    <w:rsid w:val="0068100F"/>
    <w:rsid w:val="006963DE"/>
    <w:rsid w:val="006A0D5B"/>
    <w:rsid w:val="006A2436"/>
    <w:rsid w:val="006A7490"/>
    <w:rsid w:val="006A7DFE"/>
    <w:rsid w:val="006B7C16"/>
    <w:rsid w:val="006C006B"/>
    <w:rsid w:val="006C0321"/>
    <w:rsid w:val="006C0B33"/>
    <w:rsid w:val="006C38C2"/>
    <w:rsid w:val="006C6F32"/>
    <w:rsid w:val="006D3E25"/>
    <w:rsid w:val="006D6FC7"/>
    <w:rsid w:val="006E26AE"/>
    <w:rsid w:val="006F16F9"/>
    <w:rsid w:val="006F203A"/>
    <w:rsid w:val="006F3C04"/>
    <w:rsid w:val="006F5572"/>
    <w:rsid w:val="007004A0"/>
    <w:rsid w:val="00701423"/>
    <w:rsid w:val="007068DE"/>
    <w:rsid w:val="00721558"/>
    <w:rsid w:val="00721A17"/>
    <w:rsid w:val="00724C92"/>
    <w:rsid w:val="00727853"/>
    <w:rsid w:val="00730FE1"/>
    <w:rsid w:val="0073196A"/>
    <w:rsid w:val="00737099"/>
    <w:rsid w:val="00751AAA"/>
    <w:rsid w:val="007532B6"/>
    <w:rsid w:val="007574A3"/>
    <w:rsid w:val="00764729"/>
    <w:rsid w:val="00766106"/>
    <w:rsid w:val="00770906"/>
    <w:rsid w:val="00770DC3"/>
    <w:rsid w:val="0077445D"/>
    <w:rsid w:val="00780F58"/>
    <w:rsid w:val="00782932"/>
    <w:rsid w:val="00783095"/>
    <w:rsid w:val="007832B5"/>
    <w:rsid w:val="00784AA7"/>
    <w:rsid w:val="00790B5A"/>
    <w:rsid w:val="00791E8B"/>
    <w:rsid w:val="00794173"/>
    <w:rsid w:val="00795365"/>
    <w:rsid w:val="0079588A"/>
    <w:rsid w:val="007A25BD"/>
    <w:rsid w:val="007A2918"/>
    <w:rsid w:val="007A67BB"/>
    <w:rsid w:val="007A6B31"/>
    <w:rsid w:val="007A7052"/>
    <w:rsid w:val="007A75C6"/>
    <w:rsid w:val="007B1C2F"/>
    <w:rsid w:val="007C13B8"/>
    <w:rsid w:val="007C2BDA"/>
    <w:rsid w:val="007D0B5E"/>
    <w:rsid w:val="007D2667"/>
    <w:rsid w:val="007D5630"/>
    <w:rsid w:val="007D59C2"/>
    <w:rsid w:val="007D60F9"/>
    <w:rsid w:val="007E11FB"/>
    <w:rsid w:val="007E2E42"/>
    <w:rsid w:val="007E303B"/>
    <w:rsid w:val="007E4924"/>
    <w:rsid w:val="007E7CE2"/>
    <w:rsid w:val="007F48DC"/>
    <w:rsid w:val="007F5DE5"/>
    <w:rsid w:val="007F7035"/>
    <w:rsid w:val="00802AA9"/>
    <w:rsid w:val="00803267"/>
    <w:rsid w:val="00812FD3"/>
    <w:rsid w:val="00813579"/>
    <w:rsid w:val="00814803"/>
    <w:rsid w:val="008241CD"/>
    <w:rsid w:val="00825E3C"/>
    <w:rsid w:val="00830155"/>
    <w:rsid w:val="00833EC0"/>
    <w:rsid w:val="00834095"/>
    <w:rsid w:val="00834360"/>
    <w:rsid w:val="00834DB6"/>
    <w:rsid w:val="00835008"/>
    <w:rsid w:val="00835935"/>
    <w:rsid w:val="00840721"/>
    <w:rsid w:val="008417CE"/>
    <w:rsid w:val="0084239A"/>
    <w:rsid w:val="00844509"/>
    <w:rsid w:val="00846970"/>
    <w:rsid w:val="00852AAF"/>
    <w:rsid w:val="00855E2D"/>
    <w:rsid w:val="00861C7A"/>
    <w:rsid w:val="00864290"/>
    <w:rsid w:val="00865731"/>
    <w:rsid w:val="00866C32"/>
    <w:rsid w:val="00873713"/>
    <w:rsid w:val="00875CE6"/>
    <w:rsid w:val="00876B6F"/>
    <w:rsid w:val="00877CD6"/>
    <w:rsid w:val="00877F4B"/>
    <w:rsid w:val="0088207A"/>
    <w:rsid w:val="0088428D"/>
    <w:rsid w:val="00886BFE"/>
    <w:rsid w:val="00890830"/>
    <w:rsid w:val="00890C71"/>
    <w:rsid w:val="0089106D"/>
    <w:rsid w:val="0089584B"/>
    <w:rsid w:val="00895B64"/>
    <w:rsid w:val="008A13FB"/>
    <w:rsid w:val="008A26E8"/>
    <w:rsid w:val="008A618C"/>
    <w:rsid w:val="008A6200"/>
    <w:rsid w:val="008B2730"/>
    <w:rsid w:val="008B2AF4"/>
    <w:rsid w:val="008B486E"/>
    <w:rsid w:val="008C104B"/>
    <w:rsid w:val="008D0DA7"/>
    <w:rsid w:val="008D4645"/>
    <w:rsid w:val="008E4E81"/>
    <w:rsid w:val="008E57D8"/>
    <w:rsid w:val="008F0718"/>
    <w:rsid w:val="008F10E9"/>
    <w:rsid w:val="008F3044"/>
    <w:rsid w:val="008F7997"/>
    <w:rsid w:val="009006D2"/>
    <w:rsid w:val="009019F7"/>
    <w:rsid w:val="0090786A"/>
    <w:rsid w:val="009101C5"/>
    <w:rsid w:val="00912F10"/>
    <w:rsid w:val="00920541"/>
    <w:rsid w:val="00924E79"/>
    <w:rsid w:val="00926C78"/>
    <w:rsid w:val="009309CA"/>
    <w:rsid w:val="0093173A"/>
    <w:rsid w:val="009338DD"/>
    <w:rsid w:val="00933B14"/>
    <w:rsid w:val="00933DAC"/>
    <w:rsid w:val="009418EB"/>
    <w:rsid w:val="0094624D"/>
    <w:rsid w:val="00947312"/>
    <w:rsid w:val="009473F2"/>
    <w:rsid w:val="00947923"/>
    <w:rsid w:val="00952923"/>
    <w:rsid w:val="00954DAF"/>
    <w:rsid w:val="00955A26"/>
    <w:rsid w:val="00956F58"/>
    <w:rsid w:val="009627D3"/>
    <w:rsid w:val="009627F3"/>
    <w:rsid w:val="00963595"/>
    <w:rsid w:val="00966917"/>
    <w:rsid w:val="0096735B"/>
    <w:rsid w:val="009715BD"/>
    <w:rsid w:val="0098333D"/>
    <w:rsid w:val="00993A18"/>
    <w:rsid w:val="009A02AF"/>
    <w:rsid w:val="009B602B"/>
    <w:rsid w:val="009C0310"/>
    <w:rsid w:val="009C2914"/>
    <w:rsid w:val="009C2A11"/>
    <w:rsid w:val="009C2EB3"/>
    <w:rsid w:val="009C7640"/>
    <w:rsid w:val="009D4D52"/>
    <w:rsid w:val="009E19F6"/>
    <w:rsid w:val="009E3B43"/>
    <w:rsid w:val="009E3F7E"/>
    <w:rsid w:val="009E4890"/>
    <w:rsid w:val="009E71B1"/>
    <w:rsid w:val="009F069C"/>
    <w:rsid w:val="009F0964"/>
    <w:rsid w:val="009F3DC3"/>
    <w:rsid w:val="009F62B2"/>
    <w:rsid w:val="00A0737C"/>
    <w:rsid w:val="00A102B2"/>
    <w:rsid w:val="00A11D91"/>
    <w:rsid w:val="00A15ECD"/>
    <w:rsid w:val="00A35601"/>
    <w:rsid w:val="00A358C9"/>
    <w:rsid w:val="00A36193"/>
    <w:rsid w:val="00A36FB4"/>
    <w:rsid w:val="00A37125"/>
    <w:rsid w:val="00A43182"/>
    <w:rsid w:val="00A440C8"/>
    <w:rsid w:val="00A44BB8"/>
    <w:rsid w:val="00A4579A"/>
    <w:rsid w:val="00A50401"/>
    <w:rsid w:val="00A5115B"/>
    <w:rsid w:val="00A51659"/>
    <w:rsid w:val="00A5241F"/>
    <w:rsid w:val="00A57B67"/>
    <w:rsid w:val="00A6207B"/>
    <w:rsid w:val="00A665F7"/>
    <w:rsid w:val="00A7002F"/>
    <w:rsid w:val="00A70E54"/>
    <w:rsid w:val="00A71CF2"/>
    <w:rsid w:val="00A73D67"/>
    <w:rsid w:val="00A744C7"/>
    <w:rsid w:val="00A75422"/>
    <w:rsid w:val="00A75B00"/>
    <w:rsid w:val="00A774B7"/>
    <w:rsid w:val="00A80255"/>
    <w:rsid w:val="00A81A5E"/>
    <w:rsid w:val="00A8296E"/>
    <w:rsid w:val="00A85EEA"/>
    <w:rsid w:val="00A8628F"/>
    <w:rsid w:val="00A87350"/>
    <w:rsid w:val="00A93B50"/>
    <w:rsid w:val="00A95823"/>
    <w:rsid w:val="00AA3242"/>
    <w:rsid w:val="00AA42B9"/>
    <w:rsid w:val="00AA4B51"/>
    <w:rsid w:val="00AA4D2E"/>
    <w:rsid w:val="00AA5EC8"/>
    <w:rsid w:val="00AB4515"/>
    <w:rsid w:val="00AB534E"/>
    <w:rsid w:val="00AC04FC"/>
    <w:rsid w:val="00AC1A35"/>
    <w:rsid w:val="00AC1E24"/>
    <w:rsid w:val="00AC4CE9"/>
    <w:rsid w:val="00AC4D31"/>
    <w:rsid w:val="00AC4D4F"/>
    <w:rsid w:val="00AD10F6"/>
    <w:rsid w:val="00AD1D74"/>
    <w:rsid w:val="00AE100E"/>
    <w:rsid w:val="00AE419E"/>
    <w:rsid w:val="00AE555C"/>
    <w:rsid w:val="00AE7110"/>
    <w:rsid w:val="00AE715E"/>
    <w:rsid w:val="00AF080D"/>
    <w:rsid w:val="00AF4BEC"/>
    <w:rsid w:val="00AF54DF"/>
    <w:rsid w:val="00AF6401"/>
    <w:rsid w:val="00AF79AF"/>
    <w:rsid w:val="00B007EF"/>
    <w:rsid w:val="00B02CAC"/>
    <w:rsid w:val="00B0448F"/>
    <w:rsid w:val="00B05019"/>
    <w:rsid w:val="00B06E15"/>
    <w:rsid w:val="00B07941"/>
    <w:rsid w:val="00B10F1F"/>
    <w:rsid w:val="00B238D4"/>
    <w:rsid w:val="00B24FF9"/>
    <w:rsid w:val="00B2534B"/>
    <w:rsid w:val="00B30565"/>
    <w:rsid w:val="00B3077C"/>
    <w:rsid w:val="00B32315"/>
    <w:rsid w:val="00B41AA8"/>
    <w:rsid w:val="00B42C08"/>
    <w:rsid w:val="00B43959"/>
    <w:rsid w:val="00B4483D"/>
    <w:rsid w:val="00B569E2"/>
    <w:rsid w:val="00B62910"/>
    <w:rsid w:val="00B62B46"/>
    <w:rsid w:val="00B6586D"/>
    <w:rsid w:val="00B65F54"/>
    <w:rsid w:val="00B6618C"/>
    <w:rsid w:val="00B7010F"/>
    <w:rsid w:val="00B70FFE"/>
    <w:rsid w:val="00B714BF"/>
    <w:rsid w:val="00B7171F"/>
    <w:rsid w:val="00B73C13"/>
    <w:rsid w:val="00B74B13"/>
    <w:rsid w:val="00B8306A"/>
    <w:rsid w:val="00B85104"/>
    <w:rsid w:val="00B854F7"/>
    <w:rsid w:val="00B91A05"/>
    <w:rsid w:val="00B979CB"/>
    <w:rsid w:val="00BA0350"/>
    <w:rsid w:val="00BA3FC7"/>
    <w:rsid w:val="00BA51BD"/>
    <w:rsid w:val="00BA7ACC"/>
    <w:rsid w:val="00BB0B33"/>
    <w:rsid w:val="00BB67F0"/>
    <w:rsid w:val="00BD1265"/>
    <w:rsid w:val="00BD1E2B"/>
    <w:rsid w:val="00BD24B3"/>
    <w:rsid w:val="00BD2F9B"/>
    <w:rsid w:val="00BD69FC"/>
    <w:rsid w:val="00BD7659"/>
    <w:rsid w:val="00BE028D"/>
    <w:rsid w:val="00BE2109"/>
    <w:rsid w:val="00BE4063"/>
    <w:rsid w:val="00BF0DC3"/>
    <w:rsid w:val="00BF2F4F"/>
    <w:rsid w:val="00BF4181"/>
    <w:rsid w:val="00BF642C"/>
    <w:rsid w:val="00BF6C03"/>
    <w:rsid w:val="00C00AEA"/>
    <w:rsid w:val="00C0164A"/>
    <w:rsid w:val="00C0287F"/>
    <w:rsid w:val="00C104E9"/>
    <w:rsid w:val="00C16346"/>
    <w:rsid w:val="00C16C8C"/>
    <w:rsid w:val="00C2024F"/>
    <w:rsid w:val="00C21BB8"/>
    <w:rsid w:val="00C2497F"/>
    <w:rsid w:val="00C24A87"/>
    <w:rsid w:val="00C26D80"/>
    <w:rsid w:val="00C26F88"/>
    <w:rsid w:val="00C27402"/>
    <w:rsid w:val="00C27B90"/>
    <w:rsid w:val="00C30065"/>
    <w:rsid w:val="00C3028F"/>
    <w:rsid w:val="00C31808"/>
    <w:rsid w:val="00C33BD6"/>
    <w:rsid w:val="00C34986"/>
    <w:rsid w:val="00C4352C"/>
    <w:rsid w:val="00C47480"/>
    <w:rsid w:val="00C6219C"/>
    <w:rsid w:val="00C621C6"/>
    <w:rsid w:val="00C6517D"/>
    <w:rsid w:val="00C66EB8"/>
    <w:rsid w:val="00C67F4C"/>
    <w:rsid w:val="00C71901"/>
    <w:rsid w:val="00C72368"/>
    <w:rsid w:val="00C768CA"/>
    <w:rsid w:val="00C77A7B"/>
    <w:rsid w:val="00C87387"/>
    <w:rsid w:val="00C96FF2"/>
    <w:rsid w:val="00C97FFA"/>
    <w:rsid w:val="00CA0028"/>
    <w:rsid w:val="00CA32DD"/>
    <w:rsid w:val="00CA34FF"/>
    <w:rsid w:val="00CA45A8"/>
    <w:rsid w:val="00CA5D47"/>
    <w:rsid w:val="00CC7122"/>
    <w:rsid w:val="00CD1FEB"/>
    <w:rsid w:val="00CD352B"/>
    <w:rsid w:val="00CD3E49"/>
    <w:rsid w:val="00CD66DA"/>
    <w:rsid w:val="00CE0243"/>
    <w:rsid w:val="00CE20C0"/>
    <w:rsid w:val="00CE380C"/>
    <w:rsid w:val="00CF114C"/>
    <w:rsid w:val="00CF4641"/>
    <w:rsid w:val="00CF6DDD"/>
    <w:rsid w:val="00D00287"/>
    <w:rsid w:val="00D0097D"/>
    <w:rsid w:val="00D05E1F"/>
    <w:rsid w:val="00D116C0"/>
    <w:rsid w:val="00D11903"/>
    <w:rsid w:val="00D15D9D"/>
    <w:rsid w:val="00D16F93"/>
    <w:rsid w:val="00D2004F"/>
    <w:rsid w:val="00D207ED"/>
    <w:rsid w:val="00D20A64"/>
    <w:rsid w:val="00D23AC1"/>
    <w:rsid w:val="00D23C2C"/>
    <w:rsid w:val="00D26E1B"/>
    <w:rsid w:val="00D40FBF"/>
    <w:rsid w:val="00D455EF"/>
    <w:rsid w:val="00D51A2C"/>
    <w:rsid w:val="00D62DF4"/>
    <w:rsid w:val="00D63FC1"/>
    <w:rsid w:val="00D718EB"/>
    <w:rsid w:val="00D7314E"/>
    <w:rsid w:val="00D734D7"/>
    <w:rsid w:val="00D75CC4"/>
    <w:rsid w:val="00D77498"/>
    <w:rsid w:val="00D81975"/>
    <w:rsid w:val="00DA0C2C"/>
    <w:rsid w:val="00DA100D"/>
    <w:rsid w:val="00DA4F71"/>
    <w:rsid w:val="00DA7167"/>
    <w:rsid w:val="00DB05F8"/>
    <w:rsid w:val="00DB2917"/>
    <w:rsid w:val="00DB3414"/>
    <w:rsid w:val="00DB5F6E"/>
    <w:rsid w:val="00DC034B"/>
    <w:rsid w:val="00DC0C3B"/>
    <w:rsid w:val="00DC28E9"/>
    <w:rsid w:val="00DC512F"/>
    <w:rsid w:val="00DC671B"/>
    <w:rsid w:val="00DD2D0E"/>
    <w:rsid w:val="00DD33DE"/>
    <w:rsid w:val="00DD379A"/>
    <w:rsid w:val="00DD47A2"/>
    <w:rsid w:val="00DD4D06"/>
    <w:rsid w:val="00DE71F6"/>
    <w:rsid w:val="00DF212C"/>
    <w:rsid w:val="00DF72AE"/>
    <w:rsid w:val="00DF7B6A"/>
    <w:rsid w:val="00E01112"/>
    <w:rsid w:val="00E029FC"/>
    <w:rsid w:val="00E04614"/>
    <w:rsid w:val="00E0672D"/>
    <w:rsid w:val="00E10867"/>
    <w:rsid w:val="00E146A7"/>
    <w:rsid w:val="00E202A3"/>
    <w:rsid w:val="00E2191B"/>
    <w:rsid w:val="00E24627"/>
    <w:rsid w:val="00E25E79"/>
    <w:rsid w:val="00E32C64"/>
    <w:rsid w:val="00E34EC1"/>
    <w:rsid w:val="00E37E0F"/>
    <w:rsid w:val="00E44566"/>
    <w:rsid w:val="00E45B62"/>
    <w:rsid w:val="00E46171"/>
    <w:rsid w:val="00E4747E"/>
    <w:rsid w:val="00E474F0"/>
    <w:rsid w:val="00E6097C"/>
    <w:rsid w:val="00E60BE5"/>
    <w:rsid w:val="00E61F29"/>
    <w:rsid w:val="00E6280D"/>
    <w:rsid w:val="00E643A5"/>
    <w:rsid w:val="00E72EF0"/>
    <w:rsid w:val="00E744CA"/>
    <w:rsid w:val="00E75622"/>
    <w:rsid w:val="00E76ACE"/>
    <w:rsid w:val="00E867E4"/>
    <w:rsid w:val="00E87A66"/>
    <w:rsid w:val="00E907EC"/>
    <w:rsid w:val="00E93BC2"/>
    <w:rsid w:val="00E94D1A"/>
    <w:rsid w:val="00EA2E3E"/>
    <w:rsid w:val="00EA4291"/>
    <w:rsid w:val="00EA6B72"/>
    <w:rsid w:val="00EA7657"/>
    <w:rsid w:val="00EB0108"/>
    <w:rsid w:val="00EB28A0"/>
    <w:rsid w:val="00EB3DCF"/>
    <w:rsid w:val="00EB58F5"/>
    <w:rsid w:val="00EB5945"/>
    <w:rsid w:val="00EB6231"/>
    <w:rsid w:val="00EB7AF4"/>
    <w:rsid w:val="00EC0DC4"/>
    <w:rsid w:val="00EC1575"/>
    <w:rsid w:val="00EC55EF"/>
    <w:rsid w:val="00EC6653"/>
    <w:rsid w:val="00EC7F57"/>
    <w:rsid w:val="00ED0D07"/>
    <w:rsid w:val="00ED0F45"/>
    <w:rsid w:val="00ED236A"/>
    <w:rsid w:val="00ED74B4"/>
    <w:rsid w:val="00ED7EBA"/>
    <w:rsid w:val="00EE00AA"/>
    <w:rsid w:val="00EE04BC"/>
    <w:rsid w:val="00EE118B"/>
    <w:rsid w:val="00EE161E"/>
    <w:rsid w:val="00EE3B5C"/>
    <w:rsid w:val="00EE4127"/>
    <w:rsid w:val="00EE4B71"/>
    <w:rsid w:val="00EE5A4E"/>
    <w:rsid w:val="00EE79D2"/>
    <w:rsid w:val="00F0469C"/>
    <w:rsid w:val="00F063F4"/>
    <w:rsid w:val="00F103EF"/>
    <w:rsid w:val="00F1357B"/>
    <w:rsid w:val="00F149F2"/>
    <w:rsid w:val="00F2146B"/>
    <w:rsid w:val="00F2153B"/>
    <w:rsid w:val="00F22D50"/>
    <w:rsid w:val="00F35585"/>
    <w:rsid w:val="00F361E7"/>
    <w:rsid w:val="00F40003"/>
    <w:rsid w:val="00F408B8"/>
    <w:rsid w:val="00F40D0B"/>
    <w:rsid w:val="00F422A6"/>
    <w:rsid w:val="00F4505B"/>
    <w:rsid w:val="00F4791A"/>
    <w:rsid w:val="00F51A4E"/>
    <w:rsid w:val="00F535A0"/>
    <w:rsid w:val="00F573CF"/>
    <w:rsid w:val="00F65002"/>
    <w:rsid w:val="00F671E5"/>
    <w:rsid w:val="00F722B8"/>
    <w:rsid w:val="00F757E7"/>
    <w:rsid w:val="00F75DEA"/>
    <w:rsid w:val="00F80A4F"/>
    <w:rsid w:val="00F82E5A"/>
    <w:rsid w:val="00F82FCB"/>
    <w:rsid w:val="00F83C65"/>
    <w:rsid w:val="00F85278"/>
    <w:rsid w:val="00F87ED8"/>
    <w:rsid w:val="00F903EA"/>
    <w:rsid w:val="00F93512"/>
    <w:rsid w:val="00F9494A"/>
    <w:rsid w:val="00FA044D"/>
    <w:rsid w:val="00FA0CB2"/>
    <w:rsid w:val="00FA1E42"/>
    <w:rsid w:val="00FA358E"/>
    <w:rsid w:val="00FA7604"/>
    <w:rsid w:val="00FB228C"/>
    <w:rsid w:val="00FB26B3"/>
    <w:rsid w:val="00FB366B"/>
    <w:rsid w:val="00FB378C"/>
    <w:rsid w:val="00FB37BC"/>
    <w:rsid w:val="00FB649D"/>
    <w:rsid w:val="00FB68DB"/>
    <w:rsid w:val="00FB71F2"/>
    <w:rsid w:val="00FB780E"/>
    <w:rsid w:val="00FC7181"/>
    <w:rsid w:val="00FC72E3"/>
    <w:rsid w:val="00FD390E"/>
    <w:rsid w:val="00FE04F5"/>
    <w:rsid w:val="00FE26B0"/>
    <w:rsid w:val="00FF0081"/>
    <w:rsid w:val="00FF072D"/>
    <w:rsid w:val="00FF16DA"/>
    <w:rsid w:val="00FF6272"/>
    <w:rsid w:val="00FF6D15"/>
    <w:rsid w:val="00FF7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7"/>
    <o:shapelayout v:ext="edit">
      <o:idmap v:ext="edit" data="1"/>
    </o:shapelayout>
  </w:shapeDefaults>
  <w:decimalSymbol w:val="."/>
  <w:listSeparator w:val=","/>
  <w15:chartTrackingRefBased/>
  <w15:docId w15:val="{BFD40A23-7C45-4CA2-90F2-E67B395C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CD0"/>
    <w:rPr>
      <w:rFonts w:ascii="Calibri" w:eastAsia="Times New Roman" w:hAnsi="Calibri"/>
      <w:sz w:val="24"/>
      <w:szCs w:val="32"/>
    </w:rPr>
  </w:style>
  <w:style w:type="paragraph" w:styleId="Heading1">
    <w:name w:val="heading 1"/>
    <w:basedOn w:val="Normal"/>
    <w:next w:val="Normal"/>
    <w:link w:val="Heading1Char"/>
    <w:qFormat/>
    <w:rsid w:val="00933DAC"/>
    <w:pPr>
      <w:keepNext/>
      <w:numPr>
        <w:numId w:val="30"/>
      </w:numPr>
      <w:spacing w:before="240" w:after="60"/>
      <w:outlineLvl w:val="0"/>
    </w:pPr>
    <w:rPr>
      <w:rFonts w:cs="Arial"/>
      <w:b/>
      <w:bCs/>
      <w:caps/>
      <w:kern w:val="32"/>
    </w:rPr>
  </w:style>
  <w:style w:type="paragraph" w:styleId="Heading2">
    <w:name w:val="heading 2"/>
    <w:basedOn w:val="Normal"/>
    <w:next w:val="Normal"/>
    <w:link w:val="Heading2Char"/>
    <w:qFormat/>
    <w:rsid w:val="00933DAC"/>
    <w:pPr>
      <w:keepNext/>
      <w:spacing w:before="240" w:after="60"/>
      <w:outlineLvl w:val="1"/>
    </w:pPr>
    <w:rPr>
      <w:rFonts w:cs="Arial"/>
      <w:b/>
      <w:bCs/>
      <w:iCs/>
      <w:szCs w:val="28"/>
    </w:rPr>
  </w:style>
  <w:style w:type="paragraph" w:styleId="Heading3">
    <w:name w:val="heading 3"/>
    <w:basedOn w:val="Normal"/>
    <w:next w:val="Normal"/>
    <w:link w:val="Heading3Char"/>
    <w:qFormat/>
    <w:rsid w:val="00933DAC"/>
    <w:pPr>
      <w:keepNext/>
      <w:spacing w:before="240" w:after="60"/>
      <w:outlineLvl w:val="2"/>
    </w:pPr>
    <w:rPr>
      <w:rFonts w:cs="Arial"/>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33DAC"/>
    <w:rPr>
      <w:rFonts w:ascii="Calibri" w:hAnsi="Calibri" w:cs="Arial"/>
      <w:b/>
      <w:bCs/>
      <w:caps/>
      <w:kern w:val="32"/>
      <w:sz w:val="24"/>
      <w:szCs w:val="32"/>
      <w:lang w:val="en-US" w:eastAsia="en-US" w:bidi="ar-SA"/>
    </w:rPr>
  </w:style>
  <w:style w:type="character" w:customStyle="1" w:styleId="Heading2Char">
    <w:name w:val="Heading 2 Char"/>
    <w:link w:val="Heading2"/>
    <w:rsid w:val="00933DAC"/>
    <w:rPr>
      <w:rFonts w:ascii="Calibri" w:hAnsi="Calibri" w:cs="Arial"/>
      <w:b/>
      <w:bCs/>
      <w:iCs/>
      <w:sz w:val="24"/>
      <w:szCs w:val="28"/>
      <w:lang w:val="en-US" w:eastAsia="en-US" w:bidi="ar-SA"/>
    </w:rPr>
  </w:style>
  <w:style w:type="character" w:customStyle="1" w:styleId="Heading3Char">
    <w:name w:val="Heading 3 Char"/>
    <w:link w:val="Heading3"/>
    <w:rsid w:val="00933DAC"/>
    <w:rPr>
      <w:rFonts w:ascii="Calibri" w:hAnsi="Calibri" w:cs="Arial"/>
      <w:bCs/>
      <w:i/>
      <w:sz w:val="24"/>
      <w:szCs w:val="26"/>
      <w:lang w:val="en-US" w:eastAsia="en-US" w:bidi="ar-SA"/>
    </w:rPr>
  </w:style>
  <w:style w:type="paragraph" w:styleId="FootnoteText">
    <w:name w:val="footnote text"/>
    <w:aliases w:val="Footnote Text1 Char,Footnote Text Char Ch"/>
    <w:basedOn w:val="Normal"/>
    <w:link w:val="FootnoteTextChar1"/>
    <w:rsid w:val="00B0448F"/>
    <w:rPr>
      <w:sz w:val="20"/>
      <w:szCs w:val="20"/>
    </w:rPr>
  </w:style>
  <w:style w:type="character" w:customStyle="1" w:styleId="FootnoteTextChar1">
    <w:name w:val="Footnote Text Char1"/>
    <w:aliases w:val="Footnote Text1 Char Char,Footnote Text Char Ch Char"/>
    <w:link w:val="FootnoteText"/>
    <w:locked/>
    <w:rsid w:val="00370D7D"/>
    <w:rPr>
      <w:lang w:val="en-US" w:eastAsia="en-US" w:bidi="ar-SA"/>
    </w:rPr>
  </w:style>
  <w:style w:type="character" w:styleId="FootnoteReference">
    <w:name w:val="footnote reference"/>
    <w:aliases w:val="o"/>
    <w:rsid w:val="00B0448F"/>
    <w:rPr>
      <w:vertAlign w:val="superscript"/>
    </w:rPr>
  </w:style>
  <w:style w:type="paragraph" w:customStyle="1" w:styleId="TableCaption">
    <w:name w:val="Table Caption"/>
    <w:basedOn w:val="Caption"/>
    <w:link w:val="TableCaptionChar"/>
    <w:qFormat/>
    <w:rsid w:val="00DB5F6E"/>
    <w:pPr>
      <w:keepNext/>
      <w:spacing w:after="120"/>
      <w:jc w:val="center"/>
    </w:pPr>
    <w:rPr>
      <w:sz w:val="22"/>
    </w:rPr>
  </w:style>
  <w:style w:type="paragraph" w:styleId="Caption">
    <w:name w:val="caption"/>
    <w:basedOn w:val="Normal"/>
    <w:next w:val="Normal"/>
    <w:link w:val="CaptionChar1"/>
    <w:qFormat/>
    <w:rsid w:val="00B0448F"/>
    <w:rPr>
      <w:b/>
      <w:bCs/>
      <w:sz w:val="20"/>
      <w:szCs w:val="20"/>
    </w:rPr>
  </w:style>
  <w:style w:type="character" w:customStyle="1" w:styleId="CaptionChar1">
    <w:name w:val="Caption Char1"/>
    <w:link w:val="Caption"/>
    <w:locked/>
    <w:rsid w:val="00952923"/>
    <w:rPr>
      <w:b/>
      <w:bCs/>
      <w:lang w:val="en-US" w:eastAsia="en-US" w:bidi="ar-SA"/>
    </w:rPr>
  </w:style>
  <w:style w:type="character" w:customStyle="1" w:styleId="TableCaptionChar">
    <w:name w:val="Table Caption Char"/>
    <w:link w:val="TableCaption"/>
    <w:rsid w:val="00DB5F6E"/>
    <w:rPr>
      <w:rFonts w:ascii="Calibri" w:hAnsi="Calibri"/>
      <w:b/>
      <w:bCs/>
      <w:sz w:val="22"/>
      <w:lang w:val="en-US" w:eastAsia="en-US" w:bidi="ar-SA"/>
    </w:rPr>
  </w:style>
  <w:style w:type="paragraph" w:customStyle="1" w:styleId="FigureCaption">
    <w:name w:val="Figure Caption"/>
    <w:basedOn w:val="TableCaption"/>
    <w:link w:val="FigureCaptionChar"/>
    <w:qFormat/>
    <w:rsid w:val="00B0448F"/>
  </w:style>
  <w:style w:type="character" w:customStyle="1" w:styleId="FigureCaptionChar">
    <w:name w:val="Figure Caption Char"/>
    <w:basedOn w:val="TableCaptionChar"/>
    <w:link w:val="FigureCaption"/>
    <w:rsid w:val="00B0448F"/>
    <w:rPr>
      <w:rFonts w:ascii="Calibri" w:hAnsi="Calibri"/>
      <w:b/>
      <w:bCs/>
      <w:sz w:val="22"/>
      <w:lang w:val="en-US" w:eastAsia="en-US" w:bidi="ar-SA"/>
    </w:rPr>
  </w:style>
  <w:style w:type="paragraph" w:customStyle="1" w:styleId="StyleCaptionCentered">
    <w:name w:val="Style Caption + Centered"/>
    <w:basedOn w:val="Caption"/>
    <w:link w:val="StyleCaptionCenteredChar"/>
    <w:rsid w:val="00B0448F"/>
    <w:pPr>
      <w:keepNext/>
      <w:spacing w:after="120"/>
      <w:jc w:val="center"/>
    </w:pPr>
    <w:rPr>
      <w:sz w:val="24"/>
    </w:rPr>
  </w:style>
  <w:style w:type="character" w:customStyle="1" w:styleId="StyleCaptionCenteredChar">
    <w:name w:val="Style Caption + Centered Char"/>
    <w:link w:val="StyleCaptionCentered"/>
    <w:rsid w:val="00B0448F"/>
    <w:rPr>
      <w:b/>
      <w:bCs/>
      <w:sz w:val="24"/>
      <w:lang w:val="en-US" w:eastAsia="en-US" w:bidi="ar-SA"/>
    </w:rPr>
  </w:style>
  <w:style w:type="character" w:customStyle="1" w:styleId="CharChar6">
    <w:name w:val="Char Char6"/>
    <w:locked/>
    <w:rsid w:val="000249A3"/>
    <w:rPr>
      <w:rFonts w:ascii="Arial" w:hAnsi="Arial" w:cs="Arial"/>
      <w:b/>
      <w:bCs/>
      <w:i/>
      <w:iCs/>
      <w:sz w:val="24"/>
      <w:szCs w:val="28"/>
      <w:lang w:val="en-US" w:eastAsia="en-US" w:bidi="ar-SA"/>
    </w:rPr>
  </w:style>
  <w:style w:type="character" w:customStyle="1" w:styleId="CharChar5">
    <w:name w:val="Char Char5"/>
    <w:locked/>
    <w:rsid w:val="000249A3"/>
    <w:rPr>
      <w:rFonts w:ascii="Arial" w:hAnsi="Arial" w:cs="Arial"/>
      <w:b/>
      <w:bCs/>
      <w:sz w:val="24"/>
      <w:szCs w:val="26"/>
      <w:lang w:val="en-US" w:eastAsia="en-US" w:bidi="ar-SA"/>
    </w:rPr>
  </w:style>
  <w:style w:type="table" w:styleId="TableGrid">
    <w:name w:val="Table Grid"/>
    <w:basedOn w:val="TableNormal"/>
    <w:rsid w:val="00024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906CE"/>
    <w:rPr>
      <w:rFonts w:cs="Times New Roman"/>
      <w:color w:val="0000FF"/>
      <w:u w:val="single"/>
    </w:rPr>
  </w:style>
  <w:style w:type="paragraph" w:styleId="Footer">
    <w:name w:val="footer"/>
    <w:basedOn w:val="Normal"/>
    <w:rsid w:val="00952923"/>
    <w:pPr>
      <w:tabs>
        <w:tab w:val="center" w:pos="4320"/>
        <w:tab w:val="right" w:pos="8640"/>
      </w:tabs>
    </w:pPr>
  </w:style>
  <w:style w:type="paragraph" w:styleId="Header">
    <w:name w:val="header"/>
    <w:basedOn w:val="Normal"/>
    <w:rsid w:val="00952923"/>
    <w:pPr>
      <w:tabs>
        <w:tab w:val="center" w:pos="4320"/>
        <w:tab w:val="right" w:pos="8640"/>
      </w:tabs>
    </w:pPr>
  </w:style>
  <w:style w:type="paragraph" w:customStyle="1" w:styleId="EPRITitleText">
    <w:name w:val="EPRI Title Text"/>
    <w:rsid w:val="00952923"/>
    <w:pPr>
      <w:spacing w:before="140" w:after="1200"/>
      <w:ind w:left="1195" w:right="1195"/>
    </w:pPr>
    <w:rPr>
      <w:rFonts w:ascii="Helvetica" w:eastAsia="Times New Roman" w:hAnsi="Helvetica"/>
      <w:sz w:val="24"/>
    </w:rPr>
  </w:style>
  <w:style w:type="character" w:styleId="PageNumber">
    <w:name w:val="page number"/>
    <w:rsid w:val="00952923"/>
    <w:rPr>
      <w:rFonts w:cs="Times New Roman"/>
    </w:rPr>
  </w:style>
  <w:style w:type="paragraph" w:styleId="TOC1">
    <w:name w:val="toc 1"/>
    <w:basedOn w:val="Normal"/>
    <w:next w:val="Normal"/>
    <w:autoRedefine/>
    <w:uiPriority w:val="39"/>
    <w:rsid w:val="00952923"/>
    <w:pPr>
      <w:tabs>
        <w:tab w:val="right" w:leader="dot" w:pos="8630"/>
      </w:tabs>
      <w:jc w:val="center"/>
    </w:pPr>
    <w:rPr>
      <w:b/>
    </w:rPr>
  </w:style>
  <w:style w:type="paragraph" w:styleId="TOC2">
    <w:name w:val="toc 2"/>
    <w:basedOn w:val="Normal"/>
    <w:next w:val="Normal"/>
    <w:autoRedefine/>
    <w:uiPriority w:val="39"/>
    <w:rsid w:val="00952923"/>
    <w:pPr>
      <w:ind w:left="240"/>
    </w:pPr>
  </w:style>
  <w:style w:type="paragraph" w:styleId="TOC3">
    <w:name w:val="toc 3"/>
    <w:basedOn w:val="Normal"/>
    <w:next w:val="Normal"/>
    <w:autoRedefine/>
    <w:uiPriority w:val="39"/>
    <w:rsid w:val="00952923"/>
    <w:pPr>
      <w:tabs>
        <w:tab w:val="right" w:leader="dot" w:pos="8630"/>
      </w:tabs>
      <w:ind w:left="720"/>
    </w:pPr>
  </w:style>
  <w:style w:type="paragraph" w:styleId="TableofFigures">
    <w:name w:val="table of figures"/>
    <w:basedOn w:val="Normal"/>
    <w:next w:val="Normal"/>
    <w:uiPriority w:val="99"/>
    <w:rsid w:val="00952923"/>
  </w:style>
  <w:style w:type="paragraph" w:customStyle="1" w:styleId="EPRITitle">
    <w:name w:val="EPRI Title"/>
    <w:rsid w:val="00952923"/>
    <w:pPr>
      <w:spacing w:before="240" w:after="60"/>
      <w:ind w:left="1195" w:right="1195"/>
    </w:pPr>
    <w:rPr>
      <w:rFonts w:ascii="Helvetica" w:eastAsia="Times New Roman" w:hAnsi="Helvetica"/>
      <w:b/>
      <w:sz w:val="40"/>
    </w:rPr>
  </w:style>
  <w:style w:type="paragraph" w:customStyle="1" w:styleId="EPRISubtitle">
    <w:name w:val="EPRI Subtitle"/>
    <w:rsid w:val="00952923"/>
    <w:pPr>
      <w:spacing w:after="60"/>
      <w:ind w:left="1195" w:right="1195"/>
    </w:pPr>
    <w:rPr>
      <w:rFonts w:ascii="Helvetica" w:eastAsia="Times New Roman" w:hAnsi="Helvetica"/>
      <w:noProof/>
      <w:sz w:val="30"/>
    </w:rPr>
  </w:style>
  <w:style w:type="paragraph" w:customStyle="1" w:styleId="EPRIOI">
    <w:name w:val="EPRI OI#"/>
    <w:rsid w:val="00952923"/>
    <w:pPr>
      <w:spacing w:before="140" w:after="480"/>
      <w:ind w:left="1195" w:right="1195"/>
    </w:pPr>
    <w:rPr>
      <w:rFonts w:ascii="Helvetica" w:eastAsia="Times New Roman" w:hAnsi="Helvetica"/>
      <w:b/>
      <w:sz w:val="24"/>
    </w:rPr>
  </w:style>
  <w:style w:type="character" w:styleId="CommentReference">
    <w:name w:val="annotation reference"/>
    <w:rsid w:val="00952923"/>
    <w:rPr>
      <w:rFonts w:cs="Times New Roman"/>
      <w:sz w:val="16"/>
      <w:szCs w:val="16"/>
    </w:rPr>
  </w:style>
  <w:style w:type="paragraph" w:styleId="CommentText">
    <w:name w:val="annotation text"/>
    <w:basedOn w:val="Normal"/>
    <w:link w:val="CommentTextChar"/>
    <w:rsid w:val="00952923"/>
    <w:rPr>
      <w:sz w:val="20"/>
      <w:szCs w:val="20"/>
    </w:rPr>
  </w:style>
  <w:style w:type="character" w:customStyle="1" w:styleId="CommentTextChar">
    <w:name w:val="Comment Text Char"/>
    <w:link w:val="CommentText"/>
    <w:locked/>
    <w:rsid w:val="00952923"/>
    <w:rPr>
      <w:rFonts w:ascii="Calibri" w:hAnsi="Calibri"/>
      <w:lang w:val="en-US" w:eastAsia="en-US" w:bidi="ar-SA"/>
    </w:rPr>
  </w:style>
  <w:style w:type="paragraph" w:styleId="CommentSubject">
    <w:name w:val="annotation subject"/>
    <w:basedOn w:val="CommentText"/>
    <w:next w:val="CommentText"/>
    <w:link w:val="CommentSubjectChar"/>
    <w:rsid w:val="00952923"/>
    <w:rPr>
      <w:b/>
      <w:bCs/>
    </w:rPr>
  </w:style>
  <w:style w:type="character" w:customStyle="1" w:styleId="CommentSubjectChar">
    <w:name w:val="Comment Subject Char"/>
    <w:link w:val="CommentSubject"/>
    <w:locked/>
    <w:rsid w:val="00952923"/>
    <w:rPr>
      <w:rFonts w:ascii="Calibri" w:hAnsi="Calibri"/>
      <w:b/>
      <w:bCs/>
      <w:lang w:val="en-US" w:eastAsia="en-US" w:bidi="ar-SA"/>
    </w:rPr>
  </w:style>
  <w:style w:type="paragraph" w:styleId="EndnoteText">
    <w:name w:val="endnote text"/>
    <w:basedOn w:val="Normal"/>
    <w:link w:val="EndnoteTextChar"/>
    <w:rsid w:val="00952923"/>
    <w:rPr>
      <w:sz w:val="20"/>
      <w:szCs w:val="20"/>
    </w:rPr>
  </w:style>
  <w:style w:type="character" w:customStyle="1" w:styleId="EndnoteTextChar">
    <w:name w:val="Endnote Text Char"/>
    <w:link w:val="EndnoteText"/>
    <w:locked/>
    <w:rsid w:val="00952923"/>
    <w:rPr>
      <w:rFonts w:ascii="Calibri" w:hAnsi="Calibri"/>
      <w:lang w:val="en-US" w:eastAsia="en-US" w:bidi="ar-SA"/>
    </w:rPr>
  </w:style>
  <w:style w:type="character" w:styleId="EndnoteReference">
    <w:name w:val="endnote reference"/>
    <w:rsid w:val="00952923"/>
    <w:rPr>
      <w:rFonts w:cs="Times New Roman"/>
      <w:vertAlign w:val="superscript"/>
    </w:rPr>
  </w:style>
  <w:style w:type="character" w:styleId="FollowedHyperlink">
    <w:name w:val="FollowedHyperlink"/>
    <w:rsid w:val="00952923"/>
    <w:rPr>
      <w:color w:val="800080"/>
      <w:u w:val="single"/>
    </w:rPr>
  </w:style>
  <w:style w:type="character" w:customStyle="1" w:styleId="FootnoteTextChar">
    <w:name w:val="Footnote Text Char"/>
    <w:rsid w:val="00952923"/>
    <w:rPr>
      <w:lang w:val="en-US" w:eastAsia="en-US" w:bidi="ar-SA"/>
    </w:rPr>
  </w:style>
  <w:style w:type="character" w:customStyle="1" w:styleId="CaptionChar">
    <w:name w:val="Caption Char"/>
    <w:rsid w:val="002D0D86"/>
    <w:rPr>
      <w:b/>
      <w:bCs/>
      <w:sz w:val="24"/>
      <w:lang w:val="en-US" w:eastAsia="en-US" w:bidi="ar-SA"/>
    </w:rPr>
  </w:style>
  <w:style w:type="paragraph" w:styleId="BalloonText">
    <w:name w:val="Balloon Text"/>
    <w:basedOn w:val="Normal"/>
    <w:link w:val="BalloonTextChar"/>
    <w:rsid w:val="00CF6DDD"/>
    <w:rPr>
      <w:rFonts w:ascii="Segoe UI" w:hAnsi="Segoe UI" w:cs="Segoe UI"/>
      <w:sz w:val="18"/>
      <w:szCs w:val="18"/>
    </w:rPr>
  </w:style>
  <w:style w:type="character" w:customStyle="1" w:styleId="BalloonTextChar">
    <w:name w:val="Balloon Text Char"/>
    <w:link w:val="BalloonText"/>
    <w:rsid w:val="00CF6DDD"/>
    <w:rPr>
      <w:rFonts w:ascii="Segoe UI" w:eastAsia="Times New Roman" w:hAnsi="Segoe UI" w:cs="Segoe UI"/>
      <w:sz w:val="18"/>
      <w:szCs w:val="18"/>
    </w:rPr>
  </w:style>
  <w:style w:type="paragraph" w:customStyle="1" w:styleId="TableHeader">
    <w:name w:val="Table Header"/>
    <w:qFormat/>
    <w:rsid w:val="007004A0"/>
    <w:pPr>
      <w:spacing w:before="100" w:after="100"/>
      <w:jc w:val="center"/>
    </w:pPr>
    <w:rPr>
      <w:rFonts w:ascii="Arial" w:eastAsia="Calibri" w:hAnsi="Arial"/>
      <w:b/>
      <w:color w:val="FFFFFF"/>
      <w:szCs w:val="22"/>
    </w:rPr>
  </w:style>
  <w:style w:type="paragraph" w:customStyle="1" w:styleId="TableText">
    <w:name w:val="Table Text"/>
    <w:qFormat/>
    <w:rsid w:val="007004A0"/>
    <w:pPr>
      <w:spacing w:before="60" w:after="60"/>
      <w:jc w:val="center"/>
    </w:pPr>
    <w:rPr>
      <w:rFonts w:ascii="Arial" w:eastAsia="Calibri" w:hAnsi="Arial"/>
      <w:sz w:val="18"/>
      <w:szCs w:val="22"/>
    </w:rPr>
  </w:style>
  <w:style w:type="paragraph" w:styleId="ListParagraph">
    <w:name w:val="List Paragraph"/>
    <w:basedOn w:val="Normal"/>
    <w:uiPriority w:val="34"/>
    <w:qFormat/>
    <w:rsid w:val="0032323D"/>
    <w:pPr>
      <w:ind w:left="720"/>
      <w:contextualSpacing/>
    </w:pPr>
  </w:style>
  <w:style w:type="paragraph" w:styleId="TOC4">
    <w:name w:val="toc 4"/>
    <w:basedOn w:val="Normal"/>
    <w:next w:val="Normal"/>
    <w:autoRedefine/>
    <w:uiPriority w:val="39"/>
    <w:unhideWhenUsed/>
    <w:rsid w:val="00CC7122"/>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C7122"/>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C7122"/>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C7122"/>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C7122"/>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C7122"/>
    <w:pPr>
      <w:spacing w:after="100" w:line="259"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68486">
      <w:bodyDiv w:val="1"/>
      <w:marLeft w:val="0"/>
      <w:marRight w:val="0"/>
      <w:marTop w:val="0"/>
      <w:marBottom w:val="0"/>
      <w:divBdr>
        <w:top w:val="none" w:sz="0" w:space="0" w:color="auto"/>
        <w:left w:val="none" w:sz="0" w:space="0" w:color="auto"/>
        <w:bottom w:val="none" w:sz="0" w:space="0" w:color="auto"/>
        <w:right w:val="none" w:sz="0" w:space="0" w:color="auto"/>
      </w:divBdr>
    </w:div>
    <w:div w:id="60954726">
      <w:bodyDiv w:val="1"/>
      <w:marLeft w:val="0"/>
      <w:marRight w:val="0"/>
      <w:marTop w:val="0"/>
      <w:marBottom w:val="0"/>
      <w:divBdr>
        <w:top w:val="none" w:sz="0" w:space="0" w:color="auto"/>
        <w:left w:val="none" w:sz="0" w:space="0" w:color="auto"/>
        <w:bottom w:val="none" w:sz="0" w:space="0" w:color="auto"/>
        <w:right w:val="none" w:sz="0" w:space="0" w:color="auto"/>
      </w:divBdr>
    </w:div>
    <w:div w:id="114448862">
      <w:bodyDiv w:val="1"/>
      <w:marLeft w:val="0"/>
      <w:marRight w:val="0"/>
      <w:marTop w:val="0"/>
      <w:marBottom w:val="0"/>
      <w:divBdr>
        <w:top w:val="none" w:sz="0" w:space="0" w:color="auto"/>
        <w:left w:val="none" w:sz="0" w:space="0" w:color="auto"/>
        <w:bottom w:val="none" w:sz="0" w:space="0" w:color="auto"/>
        <w:right w:val="none" w:sz="0" w:space="0" w:color="auto"/>
      </w:divBdr>
    </w:div>
    <w:div w:id="173887830">
      <w:bodyDiv w:val="1"/>
      <w:marLeft w:val="0"/>
      <w:marRight w:val="0"/>
      <w:marTop w:val="0"/>
      <w:marBottom w:val="0"/>
      <w:divBdr>
        <w:top w:val="none" w:sz="0" w:space="0" w:color="auto"/>
        <w:left w:val="none" w:sz="0" w:space="0" w:color="auto"/>
        <w:bottom w:val="none" w:sz="0" w:space="0" w:color="auto"/>
        <w:right w:val="none" w:sz="0" w:space="0" w:color="auto"/>
      </w:divBdr>
    </w:div>
    <w:div w:id="178088916">
      <w:bodyDiv w:val="1"/>
      <w:marLeft w:val="0"/>
      <w:marRight w:val="0"/>
      <w:marTop w:val="0"/>
      <w:marBottom w:val="0"/>
      <w:divBdr>
        <w:top w:val="none" w:sz="0" w:space="0" w:color="auto"/>
        <w:left w:val="none" w:sz="0" w:space="0" w:color="auto"/>
        <w:bottom w:val="none" w:sz="0" w:space="0" w:color="auto"/>
        <w:right w:val="none" w:sz="0" w:space="0" w:color="auto"/>
      </w:divBdr>
    </w:div>
    <w:div w:id="202527142">
      <w:bodyDiv w:val="1"/>
      <w:marLeft w:val="0"/>
      <w:marRight w:val="0"/>
      <w:marTop w:val="0"/>
      <w:marBottom w:val="0"/>
      <w:divBdr>
        <w:top w:val="none" w:sz="0" w:space="0" w:color="auto"/>
        <w:left w:val="none" w:sz="0" w:space="0" w:color="auto"/>
        <w:bottom w:val="none" w:sz="0" w:space="0" w:color="auto"/>
        <w:right w:val="none" w:sz="0" w:space="0" w:color="auto"/>
      </w:divBdr>
    </w:div>
    <w:div w:id="210576846">
      <w:bodyDiv w:val="1"/>
      <w:marLeft w:val="0"/>
      <w:marRight w:val="0"/>
      <w:marTop w:val="0"/>
      <w:marBottom w:val="0"/>
      <w:divBdr>
        <w:top w:val="none" w:sz="0" w:space="0" w:color="auto"/>
        <w:left w:val="none" w:sz="0" w:space="0" w:color="auto"/>
        <w:bottom w:val="none" w:sz="0" w:space="0" w:color="auto"/>
        <w:right w:val="none" w:sz="0" w:space="0" w:color="auto"/>
      </w:divBdr>
    </w:div>
    <w:div w:id="241179801">
      <w:bodyDiv w:val="1"/>
      <w:marLeft w:val="0"/>
      <w:marRight w:val="0"/>
      <w:marTop w:val="0"/>
      <w:marBottom w:val="0"/>
      <w:divBdr>
        <w:top w:val="none" w:sz="0" w:space="0" w:color="auto"/>
        <w:left w:val="none" w:sz="0" w:space="0" w:color="auto"/>
        <w:bottom w:val="none" w:sz="0" w:space="0" w:color="auto"/>
        <w:right w:val="none" w:sz="0" w:space="0" w:color="auto"/>
      </w:divBdr>
    </w:div>
    <w:div w:id="323775631">
      <w:bodyDiv w:val="1"/>
      <w:marLeft w:val="0"/>
      <w:marRight w:val="0"/>
      <w:marTop w:val="0"/>
      <w:marBottom w:val="0"/>
      <w:divBdr>
        <w:top w:val="none" w:sz="0" w:space="0" w:color="auto"/>
        <w:left w:val="none" w:sz="0" w:space="0" w:color="auto"/>
        <w:bottom w:val="none" w:sz="0" w:space="0" w:color="auto"/>
        <w:right w:val="none" w:sz="0" w:space="0" w:color="auto"/>
      </w:divBdr>
    </w:div>
    <w:div w:id="324558086">
      <w:bodyDiv w:val="1"/>
      <w:marLeft w:val="0"/>
      <w:marRight w:val="0"/>
      <w:marTop w:val="0"/>
      <w:marBottom w:val="0"/>
      <w:divBdr>
        <w:top w:val="none" w:sz="0" w:space="0" w:color="auto"/>
        <w:left w:val="none" w:sz="0" w:space="0" w:color="auto"/>
        <w:bottom w:val="none" w:sz="0" w:space="0" w:color="auto"/>
        <w:right w:val="none" w:sz="0" w:space="0" w:color="auto"/>
      </w:divBdr>
    </w:div>
    <w:div w:id="357782635">
      <w:bodyDiv w:val="1"/>
      <w:marLeft w:val="0"/>
      <w:marRight w:val="0"/>
      <w:marTop w:val="0"/>
      <w:marBottom w:val="0"/>
      <w:divBdr>
        <w:top w:val="none" w:sz="0" w:space="0" w:color="auto"/>
        <w:left w:val="none" w:sz="0" w:space="0" w:color="auto"/>
        <w:bottom w:val="none" w:sz="0" w:space="0" w:color="auto"/>
        <w:right w:val="none" w:sz="0" w:space="0" w:color="auto"/>
      </w:divBdr>
    </w:div>
    <w:div w:id="405346138">
      <w:bodyDiv w:val="1"/>
      <w:marLeft w:val="0"/>
      <w:marRight w:val="0"/>
      <w:marTop w:val="0"/>
      <w:marBottom w:val="0"/>
      <w:divBdr>
        <w:top w:val="none" w:sz="0" w:space="0" w:color="auto"/>
        <w:left w:val="none" w:sz="0" w:space="0" w:color="auto"/>
        <w:bottom w:val="none" w:sz="0" w:space="0" w:color="auto"/>
        <w:right w:val="none" w:sz="0" w:space="0" w:color="auto"/>
      </w:divBdr>
    </w:div>
    <w:div w:id="408507437">
      <w:bodyDiv w:val="1"/>
      <w:marLeft w:val="0"/>
      <w:marRight w:val="0"/>
      <w:marTop w:val="0"/>
      <w:marBottom w:val="0"/>
      <w:divBdr>
        <w:top w:val="none" w:sz="0" w:space="0" w:color="auto"/>
        <w:left w:val="none" w:sz="0" w:space="0" w:color="auto"/>
        <w:bottom w:val="none" w:sz="0" w:space="0" w:color="auto"/>
        <w:right w:val="none" w:sz="0" w:space="0" w:color="auto"/>
      </w:divBdr>
    </w:div>
    <w:div w:id="454325096">
      <w:bodyDiv w:val="1"/>
      <w:marLeft w:val="0"/>
      <w:marRight w:val="0"/>
      <w:marTop w:val="0"/>
      <w:marBottom w:val="0"/>
      <w:divBdr>
        <w:top w:val="none" w:sz="0" w:space="0" w:color="auto"/>
        <w:left w:val="none" w:sz="0" w:space="0" w:color="auto"/>
        <w:bottom w:val="none" w:sz="0" w:space="0" w:color="auto"/>
        <w:right w:val="none" w:sz="0" w:space="0" w:color="auto"/>
      </w:divBdr>
    </w:div>
    <w:div w:id="509638503">
      <w:bodyDiv w:val="1"/>
      <w:marLeft w:val="0"/>
      <w:marRight w:val="0"/>
      <w:marTop w:val="0"/>
      <w:marBottom w:val="0"/>
      <w:divBdr>
        <w:top w:val="none" w:sz="0" w:space="0" w:color="auto"/>
        <w:left w:val="none" w:sz="0" w:space="0" w:color="auto"/>
        <w:bottom w:val="none" w:sz="0" w:space="0" w:color="auto"/>
        <w:right w:val="none" w:sz="0" w:space="0" w:color="auto"/>
      </w:divBdr>
    </w:div>
    <w:div w:id="542714772">
      <w:bodyDiv w:val="1"/>
      <w:marLeft w:val="0"/>
      <w:marRight w:val="0"/>
      <w:marTop w:val="0"/>
      <w:marBottom w:val="0"/>
      <w:divBdr>
        <w:top w:val="none" w:sz="0" w:space="0" w:color="auto"/>
        <w:left w:val="none" w:sz="0" w:space="0" w:color="auto"/>
        <w:bottom w:val="none" w:sz="0" w:space="0" w:color="auto"/>
        <w:right w:val="none" w:sz="0" w:space="0" w:color="auto"/>
      </w:divBdr>
    </w:div>
    <w:div w:id="567306689">
      <w:bodyDiv w:val="1"/>
      <w:marLeft w:val="0"/>
      <w:marRight w:val="0"/>
      <w:marTop w:val="0"/>
      <w:marBottom w:val="0"/>
      <w:divBdr>
        <w:top w:val="none" w:sz="0" w:space="0" w:color="auto"/>
        <w:left w:val="none" w:sz="0" w:space="0" w:color="auto"/>
        <w:bottom w:val="none" w:sz="0" w:space="0" w:color="auto"/>
        <w:right w:val="none" w:sz="0" w:space="0" w:color="auto"/>
      </w:divBdr>
    </w:div>
    <w:div w:id="592127196">
      <w:bodyDiv w:val="1"/>
      <w:marLeft w:val="0"/>
      <w:marRight w:val="0"/>
      <w:marTop w:val="0"/>
      <w:marBottom w:val="0"/>
      <w:divBdr>
        <w:top w:val="none" w:sz="0" w:space="0" w:color="auto"/>
        <w:left w:val="none" w:sz="0" w:space="0" w:color="auto"/>
        <w:bottom w:val="none" w:sz="0" w:space="0" w:color="auto"/>
        <w:right w:val="none" w:sz="0" w:space="0" w:color="auto"/>
      </w:divBdr>
    </w:div>
    <w:div w:id="599803318">
      <w:bodyDiv w:val="1"/>
      <w:marLeft w:val="0"/>
      <w:marRight w:val="0"/>
      <w:marTop w:val="0"/>
      <w:marBottom w:val="0"/>
      <w:divBdr>
        <w:top w:val="none" w:sz="0" w:space="0" w:color="auto"/>
        <w:left w:val="none" w:sz="0" w:space="0" w:color="auto"/>
        <w:bottom w:val="none" w:sz="0" w:space="0" w:color="auto"/>
        <w:right w:val="none" w:sz="0" w:space="0" w:color="auto"/>
      </w:divBdr>
    </w:div>
    <w:div w:id="607810963">
      <w:bodyDiv w:val="1"/>
      <w:marLeft w:val="0"/>
      <w:marRight w:val="0"/>
      <w:marTop w:val="0"/>
      <w:marBottom w:val="0"/>
      <w:divBdr>
        <w:top w:val="none" w:sz="0" w:space="0" w:color="auto"/>
        <w:left w:val="none" w:sz="0" w:space="0" w:color="auto"/>
        <w:bottom w:val="none" w:sz="0" w:space="0" w:color="auto"/>
        <w:right w:val="none" w:sz="0" w:space="0" w:color="auto"/>
      </w:divBdr>
    </w:div>
    <w:div w:id="652878333">
      <w:bodyDiv w:val="1"/>
      <w:marLeft w:val="0"/>
      <w:marRight w:val="0"/>
      <w:marTop w:val="0"/>
      <w:marBottom w:val="0"/>
      <w:divBdr>
        <w:top w:val="none" w:sz="0" w:space="0" w:color="auto"/>
        <w:left w:val="none" w:sz="0" w:space="0" w:color="auto"/>
        <w:bottom w:val="none" w:sz="0" w:space="0" w:color="auto"/>
        <w:right w:val="none" w:sz="0" w:space="0" w:color="auto"/>
      </w:divBdr>
    </w:div>
    <w:div w:id="678461387">
      <w:bodyDiv w:val="1"/>
      <w:marLeft w:val="0"/>
      <w:marRight w:val="0"/>
      <w:marTop w:val="0"/>
      <w:marBottom w:val="0"/>
      <w:divBdr>
        <w:top w:val="none" w:sz="0" w:space="0" w:color="auto"/>
        <w:left w:val="none" w:sz="0" w:space="0" w:color="auto"/>
        <w:bottom w:val="none" w:sz="0" w:space="0" w:color="auto"/>
        <w:right w:val="none" w:sz="0" w:space="0" w:color="auto"/>
      </w:divBdr>
    </w:div>
    <w:div w:id="697194099">
      <w:bodyDiv w:val="1"/>
      <w:marLeft w:val="0"/>
      <w:marRight w:val="0"/>
      <w:marTop w:val="0"/>
      <w:marBottom w:val="0"/>
      <w:divBdr>
        <w:top w:val="none" w:sz="0" w:space="0" w:color="auto"/>
        <w:left w:val="none" w:sz="0" w:space="0" w:color="auto"/>
        <w:bottom w:val="none" w:sz="0" w:space="0" w:color="auto"/>
        <w:right w:val="none" w:sz="0" w:space="0" w:color="auto"/>
      </w:divBdr>
    </w:div>
    <w:div w:id="701908116">
      <w:bodyDiv w:val="1"/>
      <w:marLeft w:val="0"/>
      <w:marRight w:val="0"/>
      <w:marTop w:val="0"/>
      <w:marBottom w:val="0"/>
      <w:divBdr>
        <w:top w:val="none" w:sz="0" w:space="0" w:color="auto"/>
        <w:left w:val="none" w:sz="0" w:space="0" w:color="auto"/>
        <w:bottom w:val="none" w:sz="0" w:space="0" w:color="auto"/>
        <w:right w:val="none" w:sz="0" w:space="0" w:color="auto"/>
      </w:divBdr>
    </w:div>
    <w:div w:id="704478850">
      <w:bodyDiv w:val="1"/>
      <w:marLeft w:val="0"/>
      <w:marRight w:val="0"/>
      <w:marTop w:val="0"/>
      <w:marBottom w:val="0"/>
      <w:divBdr>
        <w:top w:val="none" w:sz="0" w:space="0" w:color="auto"/>
        <w:left w:val="none" w:sz="0" w:space="0" w:color="auto"/>
        <w:bottom w:val="none" w:sz="0" w:space="0" w:color="auto"/>
        <w:right w:val="none" w:sz="0" w:space="0" w:color="auto"/>
      </w:divBdr>
    </w:div>
    <w:div w:id="811097710">
      <w:bodyDiv w:val="1"/>
      <w:marLeft w:val="0"/>
      <w:marRight w:val="0"/>
      <w:marTop w:val="0"/>
      <w:marBottom w:val="0"/>
      <w:divBdr>
        <w:top w:val="none" w:sz="0" w:space="0" w:color="auto"/>
        <w:left w:val="none" w:sz="0" w:space="0" w:color="auto"/>
        <w:bottom w:val="none" w:sz="0" w:space="0" w:color="auto"/>
        <w:right w:val="none" w:sz="0" w:space="0" w:color="auto"/>
      </w:divBdr>
    </w:div>
    <w:div w:id="857040695">
      <w:bodyDiv w:val="1"/>
      <w:marLeft w:val="0"/>
      <w:marRight w:val="0"/>
      <w:marTop w:val="0"/>
      <w:marBottom w:val="0"/>
      <w:divBdr>
        <w:top w:val="none" w:sz="0" w:space="0" w:color="auto"/>
        <w:left w:val="none" w:sz="0" w:space="0" w:color="auto"/>
        <w:bottom w:val="none" w:sz="0" w:space="0" w:color="auto"/>
        <w:right w:val="none" w:sz="0" w:space="0" w:color="auto"/>
      </w:divBdr>
    </w:div>
    <w:div w:id="921261298">
      <w:bodyDiv w:val="1"/>
      <w:marLeft w:val="0"/>
      <w:marRight w:val="0"/>
      <w:marTop w:val="0"/>
      <w:marBottom w:val="0"/>
      <w:divBdr>
        <w:top w:val="none" w:sz="0" w:space="0" w:color="auto"/>
        <w:left w:val="none" w:sz="0" w:space="0" w:color="auto"/>
        <w:bottom w:val="none" w:sz="0" w:space="0" w:color="auto"/>
        <w:right w:val="none" w:sz="0" w:space="0" w:color="auto"/>
      </w:divBdr>
    </w:div>
    <w:div w:id="950862964">
      <w:bodyDiv w:val="1"/>
      <w:marLeft w:val="0"/>
      <w:marRight w:val="0"/>
      <w:marTop w:val="0"/>
      <w:marBottom w:val="0"/>
      <w:divBdr>
        <w:top w:val="none" w:sz="0" w:space="0" w:color="auto"/>
        <w:left w:val="none" w:sz="0" w:space="0" w:color="auto"/>
        <w:bottom w:val="none" w:sz="0" w:space="0" w:color="auto"/>
        <w:right w:val="none" w:sz="0" w:space="0" w:color="auto"/>
      </w:divBdr>
    </w:div>
    <w:div w:id="1126002319">
      <w:bodyDiv w:val="1"/>
      <w:marLeft w:val="0"/>
      <w:marRight w:val="0"/>
      <w:marTop w:val="0"/>
      <w:marBottom w:val="0"/>
      <w:divBdr>
        <w:top w:val="none" w:sz="0" w:space="0" w:color="auto"/>
        <w:left w:val="none" w:sz="0" w:space="0" w:color="auto"/>
        <w:bottom w:val="none" w:sz="0" w:space="0" w:color="auto"/>
        <w:right w:val="none" w:sz="0" w:space="0" w:color="auto"/>
      </w:divBdr>
    </w:div>
    <w:div w:id="1170873642">
      <w:bodyDiv w:val="1"/>
      <w:marLeft w:val="0"/>
      <w:marRight w:val="0"/>
      <w:marTop w:val="0"/>
      <w:marBottom w:val="0"/>
      <w:divBdr>
        <w:top w:val="none" w:sz="0" w:space="0" w:color="auto"/>
        <w:left w:val="none" w:sz="0" w:space="0" w:color="auto"/>
        <w:bottom w:val="none" w:sz="0" w:space="0" w:color="auto"/>
        <w:right w:val="none" w:sz="0" w:space="0" w:color="auto"/>
      </w:divBdr>
    </w:div>
    <w:div w:id="1321546394">
      <w:bodyDiv w:val="1"/>
      <w:marLeft w:val="0"/>
      <w:marRight w:val="0"/>
      <w:marTop w:val="0"/>
      <w:marBottom w:val="0"/>
      <w:divBdr>
        <w:top w:val="none" w:sz="0" w:space="0" w:color="auto"/>
        <w:left w:val="none" w:sz="0" w:space="0" w:color="auto"/>
        <w:bottom w:val="none" w:sz="0" w:space="0" w:color="auto"/>
        <w:right w:val="none" w:sz="0" w:space="0" w:color="auto"/>
      </w:divBdr>
    </w:div>
    <w:div w:id="1329097297">
      <w:bodyDiv w:val="1"/>
      <w:marLeft w:val="0"/>
      <w:marRight w:val="0"/>
      <w:marTop w:val="0"/>
      <w:marBottom w:val="0"/>
      <w:divBdr>
        <w:top w:val="none" w:sz="0" w:space="0" w:color="auto"/>
        <w:left w:val="none" w:sz="0" w:space="0" w:color="auto"/>
        <w:bottom w:val="none" w:sz="0" w:space="0" w:color="auto"/>
        <w:right w:val="none" w:sz="0" w:space="0" w:color="auto"/>
      </w:divBdr>
    </w:div>
    <w:div w:id="1339893784">
      <w:bodyDiv w:val="1"/>
      <w:marLeft w:val="0"/>
      <w:marRight w:val="0"/>
      <w:marTop w:val="0"/>
      <w:marBottom w:val="0"/>
      <w:divBdr>
        <w:top w:val="none" w:sz="0" w:space="0" w:color="auto"/>
        <w:left w:val="none" w:sz="0" w:space="0" w:color="auto"/>
        <w:bottom w:val="none" w:sz="0" w:space="0" w:color="auto"/>
        <w:right w:val="none" w:sz="0" w:space="0" w:color="auto"/>
      </w:divBdr>
    </w:div>
    <w:div w:id="1400665476">
      <w:bodyDiv w:val="1"/>
      <w:marLeft w:val="0"/>
      <w:marRight w:val="0"/>
      <w:marTop w:val="0"/>
      <w:marBottom w:val="0"/>
      <w:divBdr>
        <w:top w:val="none" w:sz="0" w:space="0" w:color="auto"/>
        <w:left w:val="none" w:sz="0" w:space="0" w:color="auto"/>
        <w:bottom w:val="none" w:sz="0" w:space="0" w:color="auto"/>
        <w:right w:val="none" w:sz="0" w:space="0" w:color="auto"/>
      </w:divBdr>
      <w:divsChild>
        <w:div w:id="863904309">
          <w:marLeft w:val="0"/>
          <w:marRight w:val="0"/>
          <w:marTop w:val="0"/>
          <w:marBottom w:val="0"/>
          <w:divBdr>
            <w:top w:val="none" w:sz="0" w:space="0" w:color="auto"/>
            <w:left w:val="none" w:sz="0" w:space="0" w:color="auto"/>
            <w:bottom w:val="none" w:sz="0" w:space="0" w:color="auto"/>
            <w:right w:val="none" w:sz="0" w:space="0" w:color="auto"/>
          </w:divBdr>
        </w:div>
      </w:divsChild>
    </w:div>
    <w:div w:id="1435245976">
      <w:bodyDiv w:val="1"/>
      <w:marLeft w:val="0"/>
      <w:marRight w:val="0"/>
      <w:marTop w:val="0"/>
      <w:marBottom w:val="0"/>
      <w:divBdr>
        <w:top w:val="none" w:sz="0" w:space="0" w:color="auto"/>
        <w:left w:val="none" w:sz="0" w:space="0" w:color="auto"/>
        <w:bottom w:val="none" w:sz="0" w:space="0" w:color="auto"/>
        <w:right w:val="none" w:sz="0" w:space="0" w:color="auto"/>
      </w:divBdr>
    </w:div>
    <w:div w:id="1566716880">
      <w:bodyDiv w:val="1"/>
      <w:marLeft w:val="0"/>
      <w:marRight w:val="0"/>
      <w:marTop w:val="0"/>
      <w:marBottom w:val="0"/>
      <w:divBdr>
        <w:top w:val="none" w:sz="0" w:space="0" w:color="auto"/>
        <w:left w:val="none" w:sz="0" w:space="0" w:color="auto"/>
        <w:bottom w:val="none" w:sz="0" w:space="0" w:color="auto"/>
        <w:right w:val="none" w:sz="0" w:space="0" w:color="auto"/>
      </w:divBdr>
    </w:div>
    <w:div w:id="1608392210">
      <w:bodyDiv w:val="1"/>
      <w:marLeft w:val="0"/>
      <w:marRight w:val="0"/>
      <w:marTop w:val="0"/>
      <w:marBottom w:val="0"/>
      <w:divBdr>
        <w:top w:val="none" w:sz="0" w:space="0" w:color="auto"/>
        <w:left w:val="none" w:sz="0" w:space="0" w:color="auto"/>
        <w:bottom w:val="none" w:sz="0" w:space="0" w:color="auto"/>
        <w:right w:val="none" w:sz="0" w:space="0" w:color="auto"/>
      </w:divBdr>
    </w:div>
    <w:div w:id="1608465297">
      <w:bodyDiv w:val="1"/>
      <w:marLeft w:val="0"/>
      <w:marRight w:val="0"/>
      <w:marTop w:val="0"/>
      <w:marBottom w:val="0"/>
      <w:divBdr>
        <w:top w:val="none" w:sz="0" w:space="0" w:color="auto"/>
        <w:left w:val="none" w:sz="0" w:space="0" w:color="auto"/>
        <w:bottom w:val="none" w:sz="0" w:space="0" w:color="auto"/>
        <w:right w:val="none" w:sz="0" w:space="0" w:color="auto"/>
      </w:divBdr>
    </w:div>
    <w:div w:id="1611086051">
      <w:bodyDiv w:val="1"/>
      <w:marLeft w:val="0"/>
      <w:marRight w:val="0"/>
      <w:marTop w:val="0"/>
      <w:marBottom w:val="0"/>
      <w:divBdr>
        <w:top w:val="none" w:sz="0" w:space="0" w:color="auto"/>
        <w:left w:val="none" w:sz="0" w:space="0" w:color="auto"/>
        <w:bottom w:val="none" w:sz="0" w:space="0" w:color="auto"/>
        <w:right w:val="none" w:sz="0" w:space="0" w:color="auto"/>
      </w:divBdr>
    </w:div>
    <w:div w:id="1619289689">
      <w:bodyDiv w:val="1"/>
      <w:marLeft w:val="0"/>
      <w:marRight w:val="0"/>
      <w:marTop w:val="0"/>
      <w:marBottom w:val="0"/>
      <w:divBdr>
        <w:top w:val="none" w:sz="0" w:space="0" w:color="auto"/>
        <w:left w:val="none" w:sz="0" w:space="0" w:color="auto"/>
        <w:bottom w:val="none" w:sz="0" w:space="0" w:color="auto"/>
        <w:right w:val="none" w:sz="0" w:space="0" w:color="auto"/>
      </w:divBdr>
    </w:div>
    <w:div w:id="1619796248">
      <w:bodyDiv w:val="1"/>
      <w:marLeft w:val="0"/>
      <w:marRight w:val="0"/>
      <w:marTop w:val="0"/>
      <w:marBottom w:val="0"/>
      <w:divBdr>
        <w:top w:val="none" w:sz="0" w:space="0" w:color="auto"/>
        <w:left w:val="none" w:sz="0" w:space="0" w:color="auto"/>
        <w:bottom w:val="none" w:sz="0" w:space="0" w:color="auto"/>
        <w:right w:val="none" w:sz="0" w:space="0" w:color="auto"/>
      </w:divBdr>
    </w:div>
    <w:div w:id="1621378620">
      <w:bodyDiv w:val="1"/>
      <w:marLeft w:val="0"/>
      <w:marRight w:val="0"/>
      <w:marTop w:val="0"/>
      <w:marBottom w:val="0"/>
      <w:divBdr>
        <w:top w:val="none" w:sz="0" w:space="0" w:color="auto"/>
        <w:left w:val="none" w:sz="0" w:space="0" w:color="auto"/>
        <w:bottom w:val="none" w:sz="0" w:space="0" w:color="auto"/>
        <w:right w:val="none" w:sz="0" w:space="0" w:color="auto"/>
      </w:divBdr>
    </w:div>
    <w:div w:id="1630741115">
      <w:bodyDiv w:val="1"/>
      <w:marLeft w:val="0"/>
      <w:marRight w:val="0"/>
      <w:marTop w:val="0"/>
      <w:marBottom w:val="0"/>
      <w:divBdr>
        <w:top w:val="none" w:sz="0" w:space="0" w:color="auto"/>
        <w:left w:val="none" w:sz="0" w:space="0" w:color="auto"/>
        <w:bottom w:val="none" w:sz="0" w:space="0" w:color="auto"/>
        <w:right w:val="none" w:sz="0" w:space="0" w:color="auto"/>
      </w:divBdr>
    </w:div>
    <w:div w:id="1657688879">
      <w:bodyDiv w:val="1"/>
      <w:marLeft w:val="0"/>
      <w:marRight w:val="0"/>
      <w:marTop w:val="0"/>
      <w:marBottom w:val="0"/>
      <w:divBdr>
        <w:top w:val="none" w:sz="0" w:space="0" w:color="auto"/>
        <w:left w:val="none" w:sz="0" w:space="0" w:color="auto"/>
        <w:bottom w:val="none" w:sz="0" w:space="0" w:color="auto"/>
        <w:right w:val="none" w:sz="0" w:space="0" w:color="auto"/>
      </w:divBdr>
    </w:div>
    <w:div w:id="1697585296">
      <w:bodyDiv w:val="1"/>
      <w:marLeft w:val="0"/>
      <w:marRight w:val="0"/>
      <w:marTop w:val="0"/>
      <w:marBottom w:val="0"/>
      <w:divBdr>
        <w:top w:val="none" w:sz="0" w:space="0" w:color="auto"/>
        <w:left w:val="none" w:sz="0" w:space="0" w:color="auto"/>
        <w:bottom w:val="none" w:sz="0" w:space="0" w:color="auto"/>
        <w:right w:val="none" w:sz="0" w:space="0" w:color="auto"/>
      </w:divBdr>
    </w:div>
    <w:div w:id="1718167338">
      <w:bodyDiv w:val="1"/>
      <w:marLeft w:val="0"/>
      <w:marRight w:val="0"/>
      <w:marTop w:val="0"/>
      <w:marBottom w:val="0"/>
      <w:divBdr>
        <w:top w:val="none" w:sz="0" w:space="0" w:color="auto"/>
        <w:left w:val="none" w:sz="0" w:space="0" w:color="auto"/>
        <w:bottom w:val="none" w:sz="0" w:space="0" w:color="auto"/>
        <w:right w:val="none" w:sz="0" w:space="0" w:color="auto"/>
      </w:divBdr>
    </w:div>
    <w:div w:id="1720470585">
      <w:bodyDiv w:val="1"/>
      <w:marLeft w:val="0"/>
      <w:marRight w:val="0"/>
      <w:marTop w:val="0"/>
      <w:marBottom w:val="0"/>
      <w:divBdr>
        <w:top w:val="none" w:sz="0" w:space="0" w:color="auto"/>
        <w:left w:val="none" w:sz="0" w:space="0" w:color="auto"/>
        <w:bottom w:val="none" w:sz="0" w:space="0" w:color="auto"/>
        <w:right w:val="none" w:sz="0" w:space="0" w:color="auto"/>
      </w:divBdr>
    </w:div>
    <w:div w:id="1749376884">
      <w:bodyDiv w:val="1"/>
      <w:marLeft w:val="0"/>
      <w:marRight w:val="0"/>
      <w:marTop w:val="0"/>
      <w:marBottom w:val="0"/>
      <w:divBdr>
        <w:top w:val="none" w:sz="0" w:space="0" w:color="auto"/>
        <w:left w:val="none" w:sz="0" w:space="0" w:color="auto"/>
        <w:bottom w:val="none" w:sz="0" w:space="0" w:color="auto"/>
        <w:right w:val="none" w:sz="0" w:space="0" w:color="auto"/>
      </w:divBdr>
    </w:div>
    <w:div w:id="1766851055">
      <w:bodyDiv w:val="1"/>
      <w:marLeft w:val="0"/>
      <w:marRight w:val="0"/>
      <w:marTop w:val="0"/>
      <w:marBottom w:val="0"/>
      <w:divBdr>
        <w:top w:val="none" w:sz="0" w:space="0" w:color="auto"/>
        <w:left w:val="none" w:sz="0" w:space="0" w:color="auto"/>
        <w:bottom w:val="none" w:sz="0" w:space="0" w:color="auto"/>
        <w:right w:val="none" w:sz="0" w:space="0" w:color="auto"/>
      </w:divBdr>
    </w:div>
    <w:div w:id="1798991132">
      <w:bodyDiv w:val="1"/>
      <w:marLeft w:val="0"/>
      <w:marRight w:val="0"/>
      <w:marTop w:val="0"/>
      <w:marBottom w:val="0"/>
      <w:divBdr>
        <w:top w:val="none" w:sz="0" w:space="0" w:color="auto"/>
        <w:left w:val="none" w:sz="0" w:space="0" w:color="auto"/>
        <w:bottom w:val="none" w:sz="0" w:space="0" w:color="auto"/>
        <w:right w:val="none" w:sz="0" w:space="0" w:color="auto"/>
      </w:divBdr>
    </w:div>
    <w:div w:id="1808861863">
      <w:bodyDiv w:val="1"/>
      <w:marLeft w:val="0"/>
      <w:marRight w:val="0"/>
      <w:marTop w:val="0"/>
      <w:marBottom w:val="0"/>
      <w:divBdr>
        <w:top w:val="none" w:sz="0" w:space="0" w:color="auto"/>
        <w:left w:val="none" w:sz="0" w:space="0" w:color="auto"/>
        <w:bottom w:val="none" w:sz="0" w:space="0" w:color="auto"/>
        <w:right w:val="none" w:sz="0" w:space="0" w:color="auto"/>
      </w:divBdr>
    </w:div>
    <w:div w:id="1813592883">
      <w:bodyDiv w:val="1"/>
      <w:marLeft w:val="0"/>
      <w:marRight w:val="0"/>
      <w:marTop w:val="0"/>
      <w:marBottom w:val="0"/>
      <w:divBdr>
        <w:top w:val="none" w:sz="0" w:space="0" w:color="auto"/>
        <w:left w:val="none" w:sz="0" w:space="0" w:color="auto"/>
        <w:bottom w:val="none" w:sz="0" w:space="0" w:color="auto"/>
        <w:right w:val="none" w:sz="0" w:space="0" w:color="auto"/>
      </w:divBdr>
    </w:div>
    <w:div w:id="1816677644">
      <w:bodyDiv w:val="1"/>
      <w:marLeft w:val="0"/>
      <w:marRight w:val="0"/>
      <w:marTop w:val="0"/>
      <w:marBottom w:val="0"/>
      <w:divBdr>
        <w:top w:val="none" w:sz="0" w:space="0" w:color="auto"/>
        <w:left w:val="none" w:sz="0" w:space="0" w:color="auto"/>
        <w:bottom w:val="none" w:sz="0" w:space="0" w:color="auto"/>
        <w:right w:val="none" w:sz="0" w:space="0" w:color="auto"/>
      </w:divBdr>
    </w:div>
    <w:div w:id="1881435625">
      <w:bodyDiv w:val="1"/>
      <w:marLeft w:val="0"/>
      <w:marRight w:val="0"/>
      <w:marTop w:val="0"/>
      <w:marBottom w:val="0"/>
      <w:divBdr>
        <w:top w:val="none" w:sz="0" w:space="0" w:color="auto"/>
        <w:left w:val="none" w:sz="0" w:space="0" w:color="auto"/>
        <w:bottom w:val="none" w:sz="0" w:space="0" w:color="auto"/>
        <w:right w:val="none" w:sz="0" w:space="0" w:color="auto"/>
      </w:divBdr>
    </w:div>
    <w:div w:id="1907719912">
      <w:bodyDiv w:val="1"/>
      <w:marLeft w:val="0"/>
      <w:marRight w:val="0"/>
      <w:marTop w:val="0"/>
      <w:marBottom w:val="0"/>
      <w:divBdr>
        <w:top w:val="none" w:sz="0" w:space="0" w:color="auto"/>
        <w:left w:val="none" w:sz="0" w:space="0" w:color="auto"/>
        <w:bottom w:val="none" w:sz="0" w:space="0" w:color="auto"/>
        <w:right w:val="none" w:sz="0" w:space="0" w:color="auto"/>
      </w:divBdr>
    </w:div>
    <w:div w:id="1907839517">
      <w:bodyDiv w:val="1"/>
      <w:marLeft w:val="0"/>
      <w:marRight w:val="0"/>
      <w:marTop w:val="0"/>
      <w:marBottom w:val="0"/>
      <w:divBdr>
        <w:top w:val="none" w:sz="0" w:space="0" w:color="auto"/>
        <w:left w:val="none" w:sz="0" w:space="0" w:color="auto"/>
        <w:bottom w:val="none" w:sz="0" w:space="0" w:color="auto"/>
        <w:right w:val="none" w:sz="0" w:space="0" w:color="auto"/>
      </w:divBdr>
    </w:div>
    <w:div w:id="2029332083">
      <w:bodyDiv w:val="1"/>
      <w:marLeft w:val="0"/>
      <w:marRight w:val="0"/>
      <w:marTop w:val="0"/>
      <w:marBottom w:val="0"/>
      <w:divBdr>
        <w:top w:val="none" w:sz="0" w:space="0" w:color="auto"/>
        <w:left w:val="none" w:sz="0" w:space="0" w:color="auto"/>
        <w:bottom w:val="none" w:sz="0" w:space="0" w:color="auto"/>
        <w:right w:val="none" w:sz="0" w:space="0" w:color="auto"/>
      </w:divBdr>
    </w:div>
    <w:div w:id="2054883934">
      <w:bodyDiv w:val="1"/>
      <w:marLeft w:val="0"/>
      <w:marRight w:val="0"/>
      <w:marTop w:val="0"/>
      <w:marBottom w:val="0"/>
      <w:divBdr>
        <w:top w:val="none" w:sz="0" w:space="0" w:color="auto"/>
        <w:left w:val="none" w:sz="0" w:space="0" w:color="auto"/>
        <w:bottom w:val="none" w:sz="0" w:space="0" w:color="auto"/>
        <w:right w:val="none" w:sz="0" w:space="0" w:color="auto"/>
      </w:divBdr>
    </w:div>
    <w:div w:id="2076467011">
      <w:bodyDiv w:val="1"/>
      <w:marLeft w:val="0"/>
      <w:marRight w:val="0"/>
      <w:marTop w:val="0"/>
      <w:marBottom w:val="0"/>
      <w:divBdr>
        <w:top w:val="none" w:sz="0" w:space="0" w:color="auto"/>
        <w:left w:val="none" w:sz="0" w:space="0" w:color="auto"/>
        <w:bottom w:val="none" w:sz="0" w:space="0" w:color="auto"/>
        <w:right w:val="none" w:sz="0" w:space="0" w:color="auto"/>
      </w:divBdr>
    </w:div>
    <w:div w:id="210425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emf"/><Relationship Id="rId21" Type="http://schemas.openxmlformats.org/officeDocument/2006/relationships/oleObject" Target="embeddings/oleObject1.bin"/><Relationship Id="rId42" Type="http://schemas.openxmlformats.org/officeDocument/2006/relationships/image" Target="media/image30.emf"/><Relationship Id="rId47" Type="http://schemas.openxmlformats.org/officeDocument/2006/relationships/image" Target="media/image35.emf"/><Relationship Id="rId63" Type="http://schemas.openxmlformats.org/officeDocument/2006/relationships/image" Target="media/image51.emf"/><Relationship Id="rId68" Type="http://schemas.openxmlformats.org/officeDocument/2006/relationships/image" Target="media/image56.emf"/><Relationship Id="rId84" Type="http://schemas.openxmlformats.org/officeDocument/2006/relationships/image" Target="media/image72.emf"/><Relationship Id="rId89" Type="http://schemas.openxmlformats.org/officeDocument/2006/relationships/image" Target="media/image77.emf"/><Relationship Id="rId16" Type="http://schemas.openxmlformats.org/officeDocument/2006/relationships/image" Target="media/image5.emf"/><Relationship Id="rId11" Type="http://schemas.openxmlformats.org/officeDocument/2006/relationships/header" Target="header2.xml"/><Relationship Id="rId32" Type="http://schemas.openxmlformats.org/officeDocument/2006/relationships/image" Target="media/image20.emf"/><Relationship Id="rId37" Type="http://schemas.openxmlformats.org/officeDocument/2006/relationships/image" Target="media/image25.emf"/><Relationship Id="rId53" Type="http://schemas.openxmlformats.org/officeDocument/2006/relationships/image" Target="media/image41.emf"/><Relationship Id="rId58" Type="http://schemas.openxmlformats.org/officeDocument/2006/relationships/image" Target="media/image46.emf"/><Relationship Id="rId74" Type="http://schemas.openxmlformats.org/officeDocument/2006/relationships/image" Target="media/image62.emf"/><Relationship Id="rId79" Type="http://schemas.openxmlformats.org/officeDocument/2006/relationships/image" Target="media/image67.emf"/><Relationship Id="rId5" Type="http://schemas.openxmlformats.org/officeDocument/2006/relationships/webSettings" Target="webSettings.xml"/><Relationship Id="rId90" Type="http://schemas.openxmlformats.org/officeDocument/2006/relationships/image" Target="media/image78.emf"/><Relationship Id="rId95" Type="http://schemas.openxmlformats.org/officeDocument/2006/relationships/chart" Target="charts/chart2.xml"/><Relationship Id="rId22" Type="http://schemas.openxmlformats.org/officeDocument/2006/relationships/image" Target="media/image10.emf"/><Relationship Id="rId27" Type="http://schemas.openxmlformats.org/officeDocument/2006/relationships/image" Target="media/image15.emf"/><Relationship Id="rId43" Type="http://schemas.openxmlformats.org/officeDocument/2006/relationships/image" Target="media/image31.emf"/><Relationship Id="rId48" Type="http://schemas.openxmlformats.org/officeDocument/2006/relationships/image" Target="media/image36.emf"/><Relationship Id="rId64" Type="http://schemas.openxmlformats.org/officeDocument/2006/relationships/image" Target="media/image52.emf"/><Relationship Id="rId69" Type="http://schemas.openxmlformats.org/officeDocument/2006/relationships/image" Target="media/image57.emf"/><Relationship Id="rId80" Type="http://schemas.openxmlformats.org/officeDocument/2006/relationships/image" Target="media/image68.emf"/><Relationship Id="rId85" Type="http://schemas.openxmlformats.org/officeDocument/2006/relationships/image" Target="media/image73.e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6.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59" Type="http://schemas.openxmlformats.org/officeDocument/2006/relationships/image" Target="media/image47.emf"/><Relationship Id="rId67" Type="http://schemas.openxmlformats.org/officeDocument/2006/relationships/image" Target="media/image55.emf"/><Relationship Id="rId20" Type="http://schemas.openxmlformats.org/officeDocument/2006/relationships/image" Target="media/image9.wmf"/><Relationship Id="rId41" Type="http://schemas.openxmlformats.org/officeDocument/2006/relationships/image" Target="media/image29.emf"/><Relationship Id="rId54" Type="http://schemas.openxmlformats.org/officeDocument/2006/relationships/image" Target="media/image42.emf"/><Relationship Id="rId62" Type="http://schemas.openxmlformats.org/officeDocument/2006/relationships/image" Target="media/image50.emf"/><Relationship Id="rId70" Type="http://schemas.openxmlformats.org/officeDocument/2006/relationships/image" Target="media/image58.emf"/><Relationship Id="rId75" Type="http://schemas.openxmlformats.org/officeDocument/2006/relationships/image" Target="media/image63.emf"/><Relationship Id="rId83" Type="http://schemas.openxmlformats.org/officeDocument/2006/relationships/image" Target="media/image71.emf"/><Relationship Id="rId88" Type="http://schemas.openxmlformats.org/officeDocument/2006/relationships/image" Target="media/image76.emf"/><Relationship Id="rId91" Type="http://schemas.openxmlformats.org/officeDocument/2006/relationships/image" Target="media/image79.emf"/><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49" Type="http://schemas.openxmlformats.org/officeDocument/2006/relationships/image" Target="media/image37.emf"/><Relationship Id="rId57" Type="http://schemas.openxmlformats.org/officeDocument/2006/relationships/image" Target="media/image45.emf"/><Relationship Id="rId10" Type="http://schemas.openxmlformats.org/officeDocument/2006/relationships/footer" Target="footer2.xml"/><Relationship Id="rId31" Type="http://schemas.openxmlformats.org/officeDocument/2006/relationships/image" Target="media/image19.emf"/><Relationship Id="rId44" Type="http://schemas.openxmlformats.org/officeDocument/2006/relationships/image" Target="media/image32.emf"/><Relationship Id="rId52" Type="http://schemas.openxmlformats.org/officeDocument/2006/relationships/image" Target="media/image40.emf"/><Relationship Id="rId60" Type="http://schemas.openxmlformats.org/officeDocument/2006/relationships/image" Target="media/image48.emf"/><Relationship Id="rId65" Type="http://schemas.openxmlformats.org/officeDocument/2006/relationships/image" Target="media/image53.emf"/><Relationship Id="rId73" Type="http://schemas.openxmlformats.org/officeDocument/2006/relationships/image" Target="media/image61.emf"/><Relationship Id="rId78" Type="http://schemas.openxmlformats.org/officeDocument/2006/relationships/image" Target="media/image66.emf"/><Relationship Id="rId81" Type="http://schemas.openxmlformats.org/officeDocument/2006/relationships/image" Target="media/image69.emf"/><Relationship Id="rId86" Type="http://schemas.openxmlformats.org/officeDocument/2006/relationships/image" Target="media/image74.emf"/><Relationship Id="rId94" Type="http://schemas.openxmlformats.org/officeDocument/2006/relationships/image" Target="media/image81.png"/><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image" Target="media/image7.emf"/><Relationship Id="rId39" Type="http://schemas.openxmlformats.org/officeDocument/2006/relationships/image" Target="media/image27.emf"/><Relationship Id="rId34" Type="http://schemas.openxmlformats.org/officeDocument/2006/relationships/image" Target="media/image22.emf"/><Relationship Id="rId50" Type="http://schemas.openxmlformats.org/officeDocument/2006/relationships/image" Target="media/image38.emf"/><Relationship Id="rId55" Type="http://schemas.openxmlformats.org/officeDocument/2006/relationships/image" Target="media/image43.emf"/><Relationship Id="rId76" Type="http://schemas.openxmlformats.org/officeDocument/2006/relationships/image" Target="media/image64.emf"/><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59.emf"/><Relationship Id="rId92" Type="http://schemas.openxmlformats.org/officeDocument/2006/relationships/image" Target="media/image80.emf"/><Relationship Id="rId2" Type="http://schemas.openxmlformats.org/officeDocument/2006/relationships/numbering" Target="numbering.xml"/><Relationship Id="rId29" Type="http://schemas.openxmlformats.org/officeDocument/2006/relationships/image" Target="media/image17.emf"/><Relationship Id="rId24" Type="http://schemas.openxmlformats.org/officeDocument/2006/relationships/image" Target="media/image12.emf"/><Relationship Id="rId40" Type="http://schemas.openxmlformats.org/officeDocument/2006/relationships/image" Target="media/image28.emf"/><Relationship Id="rId45" Type="http://schemas.openxmlformats.org/officeDocument/2006/relationships/image" Target="media/image33.emf"/><Relationship Id="rId66" Type="http://schemas.openxmlformats.org/officeDocument/2006/relationships/image" Target="media/image54.emf"/><Relationship Id="rId87" Type="http://schemas.openxmlformats.org/officeDocument/2006/relationships/image" Target="media/image75.emf"/><Relationship Id="rId61" Type="http://schemas.openxmlformats.org/officeDocument/2006/relationships/image" Target="media/image49.emf"/><Relationship Id="rId82" Type="http://schemas.openxmlformats.org/officeDocument/2006/relationships/image" Target="media/image70.emf"/><Relationship Id="rId19" Type="http://schemas.openxmlformats.org/officeDocument/2006/relationships/image" Target="media/image8.emf"/><Relationship Id="rId14" Type="http://schemas.openxmlformats.org/officeDocument/2006/relationships/image" Target="media/image3.emf"/><Relationship Id="rId30" Type="http://schemas.openxmlformats.org/officeDocument/2006/relationships/image" Target="media/image18.emf"/><Relationship Id="rId35" Type="http://schemas.openxmlformats.org/officeDocument/2006/relationships/image" Target="media/image23.emf"/><Relationship Id="rId56" Type="http://schemas.openxmlformats.org/officeDocument/2006/relationships/image" Target="media/image44.emf"/><Relationship Id="rId77" Type="http://schemas.openxmlformats.org/officeDocument/2006/relationships/image" Target="media/image65.emf"/><Relationship Id="rId8" Type="http://schemas.openxmlformats.org/officeDocument/2006/relationships/header" Target="header1.xml"/><Relationship Id="rId51" Type="http://schemas.openxmlformats.org/officeDocument/2006/relationships/image" Target="media/image39.emf"/><Relationship Id="rId72" Type="http://schemas.openxmlformats.org/officeDocument/2006/relationships/image" Target="media/image60.emf"/><Relationship Id="rId93"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Heat_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howmuch\limbo\PGE\Aggregator\Aggregator%202013\Models\PGE\Graphs%20for%20Gil%2020140120%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owmuch\limbo\PGE\Aggregator\Aggregator%202013\Models\SDGE\CBP\Actual%20vs%20Predicted_18specs%20to%20date%200213%20graph.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Data!$D$131</c:f>
              <c:strCache>
                <c:ptCount val="1"/>
                <c:pt idx="0">
                  <c:v>CBP DA Act</c:v>
                </c:pt>
              </c:strCache>
            </c:strRef>
          </c:tx>
          <c:spPr>
            <a:ln w="28575" cap="rnd">
              <a:solidFill>
                <a:schemeClr val="accent1"/>
              </a:solidFill>
              <a:round/>
            </a:ln>
            <a:effectLst/>
          </c:spPr>
          <c:marker>
            <c:symbol val="none"/>
          </c:marker>
          <c:val>
            <c:numRef>
              <c:f>Data!$E$131:$AB$131</c:f>
              <c:numCache>
                <c:formatCode>0.000</c:formatCode>
                <c:ptCount val="24"/>
                <c:pt idx="0">
                  <c:v>0.58751819096505642</c:v>
                </c:pt>
                <c:pt idx="1">
                  <c:v>0.5861350055783987</c:v>
                </c:pt>
                <c:pt idx="2">
                  <c:v>0.57404345273971558</c:v>
                </c:pt>
                <c:pt idx="3">
                  <c:v>0.57428479567170143</c:v>
                </c:pt>
                <c:pt idx="4">
                  <c:v>0.58182958886027336</c:v>
                </c:pt>
                <c:pt idx="5">
                  <c:v>0.59245447628200054</c:v>
                </c:pt>
                <c:pt idx="6">
                  <c:v>0.61069218441843987</c:v>
                </c:pt>
                <c:pt idx="7">
                  <c:v>0.63226770237088203</c:v>
                </c:pt>
                <c:pt idx="8">
                  <c:v>0.64184942282736301</c:v>
                </c:pt>
                <c:pt idx="9">
                  <c:v>0.64985976554453373</c:v>
                </c:pt>
                <c:pt idx="10">
                  <c:v>0.64633502811193466</c:v>
                </c:pt>
                <c:pt idx="11">
                  <c:v>0.65222147293388844</c:v>
                </c:pt>
                <c:pt idx="12">
                  <c:v>0.66281667351722717</c:v>
                </c:pt>
                <c:pt idx="13">
                  <c:v>0.65635738149285316</c:v>
                </c:pt>
                <c:pt idx="14">
                  <c:v>0.64875532686710358</c:v>
                </c:pt>
                <c:pt idx="15">
                  <c:v>0.63586539775133133</c:v>
                </c:pt>
                <c:pt idx="16">
                  <c:v>0.62549407407641411</c:v>
                </c:pt>
                <c:pt idx="17">
                  <c:v>0.62139746733009815</c:v>
                </c:pt>
                <c:pt idx="18">
                  <c:v>0.62384044378995895</c:v>
                </c:pt>
                <c:pt idx="19">
                  <c:v>0.614743297919631</c:v>
                </c:pt>
                <c:pt idx="20">
                  <c:v>0.61408004350960255</c:v>
                </c:pt>
                <c:pt idx="21">
                  <c:v>0.6101830005645752</c:v>
                </c:pt>
                <c:pt idx="22">
                  <c:v>0.60603946819901466</c:v>
                </c:pt>
                <c:pt idx="23">
                  <c:v>0.59271626733243465</c:v>
                </c:pt>
              </c:numCache>
            </c:numRef>
          </c:val>
          <c:smooth val="0"/>
        </c:ser>
        <c:ser>
          <c:idx val="1"/>
          <c:order val="1"/>
          <c:tx>
            <c:strRef>
              <c:f>Data!$D$132</c:f>
              <c:strCache>
                <c:ptCount val="1"/>
                <c:pt idx="0">
                  <c:v>CBP DA Pred</c:v>
                </c:pt>
              </c:strCache>
            </c:strRef>
          </c:tx>
          <c:spPr>
            <a:ln w="38100" cap="rnd">
              <a:solidFill>
                <a:schemeClr val="accent2"/>
              </a:solidFill>
              <a:prstDash val="dash"/>
              <a:round/>
            </a:ln>
            <a:effectLst/>
          </c:spPr>
          <c:marker>
            <c:symbol val="none"/>
          </c:marker>
          <c:val>
            <c:numRef>
              <c:f>Data!$E$132:$AB$132</c:f>
              <c:numCache>
                <c:formatCode>0.000</c:formatCode>
                <c:ptCount val="24"/>
                <c:pt idx="0">
                  <c:v>0.57781716994941235</c:v>
                </c:pt>
                <c:pt idx="1">
                  <c:v>0.57693114504218102</c:v>
                </c:pt>
                <c:pt idx="2">
                  <c:v>0.56387137249112129</c:v>
                </c:pt>
                <c:pt idx="3">
                  <c:v>0.56478106416761875</c:v>
                </c:pt>
                <c:pt idx="4">
                  <c:v>0.57317876443266869</c:v>
                </c:pt>
                <c:pt idx="5">
                  <c:v>0.58908069506287575</c:v>
                </c:pt>
                <c:pt idx="6">
                  <c:v>0.61457573994994164</c:v>
                </c:pt>
                <c:pt idx="7">
                  <c:v>0.63554379716515541</c:v>
                </c:pt>
                <c:pt idx="8">
                  <c:v>0.65096056833863258</c:v>
                </c:pt>
                <c:pt idx="9">
                  <c:v>0.66024550795555115</c:v>
                </c:pt>
                <c:pt idx="10">
                  <c:v>0.65786997601389885</c:v>
                </c:pt>
                <c:pt idx="11">
                  <c:v>0.66321065649390221</c:v>
                </c:pt>
                <c:pt idx="12">
                  <c:v>0.66684191301465034</c:v>
                </c:pt>
                <c:pt idx="13">
                  <c:v>0.65693032741546631</c:v>
                </c:pt>
                <c:pt idx="14">
                  <c:v>0.64736054837703705</c:v>
                </c:pt>
                <c:pt idx="15">
                  <c:v>0.63319242373108864</c:v>
                </c:pt>
                <c:pt idx="16">
                  <c:v>0.62404752895236015</c:v>
                </c:pt>
                <c:pt idx="17">
                  <c:v>0.61917539685964584</c:v>
                </c:pt>
                <c:pt idx="18">
                  <c:v>0.62121091783046722</c:v>
                </c:pt>
                <c:pt idx="19">
                  <c:v>0.61289793252944946</c:v>
                </c:pt>
                <c:pt idx="20">
                  <c:v>0.61510783061385155</c:v>
                </c:pt>
                <c:pt idx="21">
                  <c:v>0.61423056572675705</c:v>
                </c:pt>
                <c:pt idx="22">
                  <c:v>0.61072725802659988</c:v>
                </c:pt>
                <c:pt idx="23">
                  <c:v>0.59391085244715214</c:v>
                </c:pt>
              </c:numCache>
            </c:numRef>
          </c:val>
          <c:smooth val="0"/>
        </c:ser>
        <c:ser>
          <c:idx val="4"/>
          <c:order val="2"/>
          <c:tx>
            <c:strRef>
              <c:f>Data!$D$135</c:f>
              <c:strCache>
                <c:ptCount val="1"/>
                <c:pt idx="0">
                  <c:v>AMP DA Act</c:v>
                </c:pt>
              </c:strCache>
            </c:strRef>
          </c:tx>
          <c:spPr>
            <a:ln w="28575" cap="rnd">
              <a:solidFill>
                <a:schemeClr val="accent5"/>
              </a:solidFill>
              <a:round/>
            </a:ln>
            <a:effectLst/>
          </c:spPr>
          <c:marker>
            <c:symbol val="none"/>
          </c:marker>
          <c:val>
            <c:numRef>
              <c:f>Data!$E$135:$AB$135</c:f>
              <c:numCache>
                <c:formatCode>0.000</c:formatCode>
                <c:ptCount val="24"/>
                <c:pt idx="0">
                  <c:v>0.30697721429169178</c:v>
                </c:pt>
                <c:pt idx="1">
                  <c:v>0.30156375747174025</c:v>
                </c:pt>
                <c:pt idx="2">
                  <c:v>0.29653614014387131</c:v>
                </c:pt>
                <c:pt idx="3">
                  <c:v>0.29625518154352903</c:v>
                </c:pt>
                <c:pt idx="4">
                  <c:v>0.30365051794797182</c:v>
                </c:pt>
                <c:pt idx="5">
                  <c:v>0.31995718739926815</c:v>
                </c:pt>
                <c:pt idx="6">
                  <c:v>0.35023516416549683</c:v>
                </c:pt>
                <c:pt idx="7">
                  <c:v>0.3675831351429224</c:v>
                </c:pt>
                <c:pt idx="8">
                  <c:v>0.38438465446233749</c:v>
                </c:pt>
                <c:pt idx="9">
                  <c:v>0.40152672119438648</c:v>
                </c:pt>
                <c:pt idx="10">
                  <c:v>0.4235180988907814</c:v>
                </c:pt>
                <c:pt idx="11">
                  <c:v>0.43547764234244823</c:v>
                </c:pt>
                <c:pt idx="12">
                  <c:v>0.44313586317002773</c:v>
                </c:pt>
                <c:pt idx="13">
                  <c:v>0.45136183872818947</c:v>
                </c:pt>
                <c:pt idx="14">
                  <c:v>0.45247618295252323</c:v>
                </c:pt>
                <c:pt idx="15">
                  <c:v>0.44571764580905437</c:v>
                </c:pt>
                <c:pt idx="16">
                  <c:v>0.43595686741173267</c:v>
                </c:pt>
                <c:pt idx="17">
                  <c:v>0.42398357018828392</c:v>
                </c:pt>
                <c:pt idx="18">
                  <c:v>0.41129356063902378</c:v>
                </c:pt>
                <c:pt idx="19">
                  <c:v>0.40553769841790199</c:v>
                </c:pt>
                <c:pt idx="20">
                  <c:v>0.40352199226617813</c:v>
                </c:pt>
                <c:pt idx="21">
                  <c:v>0.37806841731071472</c:v>
                </c:pt>
                <c:pt idx="22">
                  <c:v>0.33938293345272541</c:v>
                </c:pt>
                <c:pt idx="23">
                  <c:v>0.31757497228682041</c:v>
                </c:pt>
              </c:numCache>
            </c:numRef>
          </c:val>
          <c:smooth val="0"/>
        </c:ser>
        <c:ser>
          <c:idx val="5"/>
          <c:order val="3"/>
          <c:tx>
            <c:strRef>
              <c:f>Data!$D$136</c:f>
              <c:strCache>
                <c:ptCount val="1"/>
                <c:pt idx="0">
                  <c:v>AMP DA Pred</c:v>
                </c:pt>
              </c:strCache>
            </c:strRef>
          </c:tx>
          <c:spPr>
            <a:ln w="38100" cap="rnd">
              <a:solidFill>
                <a:schemeClr val="accent6"/>
              </a:solidFill>
              <a:prstDash val="dash"/>
              <a:round/>
            </a:ln>
            <a:effectLst/>
          </c:spPr>
          <c:marker>
            <c:symbol val="none"/>
          </c:marker>
          <c:val>
            <c:numRef>
              <c:f>Data!$E$136:$AB$136</c:f>
              <c:numCache>
                <c:formatCode>0.000</c:formatCode>
                <c:ptCount val="24"/>
                <c:pt idx="0">
                  <c:v>0.30642092041671276</c:v>
                </c:pt>
                <c:pt idx="1">
                  <c:v>0.30154576152563095</c:v>
                </c:pt>
                <c:pt idx="2">
                  <c:v>0.29627509228885174</c:v>
                </c:pt>
                <c:pt idx="3">
                  <c:v>0.29602964594960213</c:v>
                </c:pt>
                <c:pt idx="4">
                  <c:v>0.30312857031822205</c:v>
                </c:pt>
                <c:pt idx="5">
                  <c:v>0.31950191035866737</c:v>
                </c:pt>
                <c:pt idx="6">
                  <c:v>0.34904173761606216</c:v>
                </c:pt>
                <c:pt idx="7">
                  <c:v>0.36641373671591282</c:v>
                </c:pt>
                <c:pt idx="8">
                  <c:v>0.38353237323462963</c:v>
                </c:pt>
                <c:pt idx="9">
                  <c:v>0.39978189766407013</c:v>
                </c:pt>
                <c:pt idx="10">
                  <c:v>0.42147744260728359</c:v>
                </c:pt>
                <c:pt idx="11">
                  <c:v>0.43330233171582222</c:v>
                </c:pt>
                <c:pt idx="12">
                  <c:v>0.44082347117364407</c:v>
                </c:pt>
                <c:pt idx="13">
                  <c:v>0.44860229827463627</c:v>
                </c:pt>
                <c:pt idx="14">
                  <c:v>0.44945980235934258</c:v>
                </c:pt>
                <c:pt idx="15">
                  <c:v>0.44368775375187397</c:v>
                </c:pt>
                <c:pt idx="16">
                  <c:v>0.4339873194694519</c:v>
                </c:pt>
                <c:pt idx="17">
                  <c:v>0.42225596308708191</c:v>
                </c:pt>
                <c:pt idx="18">
                  <c:v>0.40997965261340141</c:v>
                </c:pt>
                <c:pt idx="19">
                  <c:v>0.40539391897618771</c:v>
                </c:pt>
                <c:pt idx="20">
                  <c:v>0.40313057228922844</c:v>
                </c:pt>
                <c:pt idx="21">
                  <c:v>0.37811380997300148</c:v>
                </c:pt>
                <c:pt idx="22">
                  <c:v>0.3391563892364502</c:v>
                </c:pt>
                <c:pt idx="23">
                  <c:v>0.31741566956043243</c:v>
                </c:pt>
              </c:numCache>
            </c:numRef>
          </c:val>
          <c:smooth val="0"/>
        </c:ser>
        <c:ser>
          <c:idx val="6"/>
          <c:order val="4"/>
          <c:tx>
            <c:strRef>
              <c:f>Data!$D$137</c:f>
              <c:strCache>
                <c:ptCount val="1"/>
                <c:pt idx="0">
                  <c:v>AMP DO Act</c:v>
                </c:pt>
              </c:strCache>
            </c:strRef>
          </c:tx>
          <c:spPr>
            <a:ln w="28575" cap="rnd">
              <a:solidFill>
                <a:schemeClr val="accent1">
                  <a:lumMod val="60000"/>
                </a:schemeClr>
              </a:solidFill>
              <a:round/>
            </a:ln>
            <a:effectLst/>
          </c:spPr>
          <c:marker>
            <c:symbol val="none"/>
          </c:marker>
          <c:val>
            <c:numRef>
              <c:f>Data!$E$137:$AB$137</c:f>
              <c:numCache>
                <c:formatCode>0.000</c:formatCode>
                <c:ptCount val="24"/>
                <c:pt idx="0">
                  <c:v>0.2852439358830452</c:v>
                </c:pt>
                <c:pt idx="1">
                  <c:v>0.28020229004323483</c:v>
                </c:pt>
                <c:pt idx="2">
                  <c:v>0.27677404787391424</c:v>
                </c:pt>
                <c:pt idx="3">
                  <c:v>0.27514650858938694</c:v>
                </c:pt>
                <c:pt idx="4">
                  <c:v>0.27775148116052151</c:v>
                </c:pt>
                <c:pt idx="5">
                  <c:v>0.29047399014234543</c:v>
                </c:pt>
                <c:pt idx="6">
                  <c:v>0.30737775936722755</c:v>
                </c:pt>
                <c:pt idx="7">
                  <c:v>0.32635964453220367</c:v>
                </c:pt>
                <c:pt idx="8">
                  <c:v>0.34442383050918579</c:v>
                </c:pt>
                <c:pt idx="9">
                  <c:v>0.35721712745726109</c:v>
                </c:pt>
                <c:pt idx="10">
                  <c:v>0.36877166852355003</c:v>
                </c:pt>
                <c:pt idx="11">
                  <c:v>0.37409980408847332</c:v>
                </c:pt>
                <c:pt idx="12">
                  <c:v>0.37238818965852261</c:v>
                </c:pt>
                <c:pt idx="13">
                  <c:v>0.37699781358242035</c:v>
                </c:pt>
                <c:pt idx="14">
                  <c:v>0.37740216590464115</c:v>
                </c:pt>
                <c:pt idx="15">
                  <c:v>0.37469449453055859</c:v>
                </c:pt>
                <c:pt idx="16">
                  <c:v>0.36900511384010315</c:v>
                </c:pt>
                <c:pt idx="17">
                  <c:v>0.3594916220754385</c:v>
                </c:pt>
                <c:pt idx="18">
                  <c:v>0.3453631829470396</c:v>
                </c:pt>
                <c:pt idx="19">
                  <c:v>0.33899861946702003</c:v>
                </c:pt>
                <c:pt idx="20">
                  <c:v>0.33386565744876862</c:v>
                </c:pt>
                <c:pt idx="21">
                  <c:v>0.3233135137706995</c:v>
                </c:pt>
                <c:pt idx="22">
                  <c:v>0.30917143262922764</c:v>
                </c:pt>
                <c:pt idx="23">
                  <c:v>0.29558800533413887</c:v>
                </c:pt>
              </c:numCache>
            </c:numRef>
          </c:val>
          <c:smooth val="0"/>
        </c:ser>
        <c:ser>
          <c:idx val="7"/>
          <c:order val="5"/>
          <c:tx>
            <c:strRef>
              <c:f>Data!$D$138</c:f>
              <c:strCache>
                <c:ptCount val="1"/>
                <c:pt idx="0">
                  <c:v>AMP DO Pred</c:v>
                </c:pt>
              </c:strCache>
            </c:strRef>
          </c:tx>
          <c:spPr>
            <a:ln w="38100" cap="rnd">
              <a:solidFill>
                <a:schemeClr val="accent2">
                  <a:lumMod val="60000"/>
                </a:schemeClr>
              </a:solidFill>
              <a:prstDash val="dash"/>
              <a:round/>
            </a:ln>
            <a:effectLst/>
          </c:spPr>
          <c:marker>
            <c:symbol val="none"/>
          </c:marker>
          <c:val>
            <c:numRef>
              <c:f>Data!$E$138:$AB$138</c:f>
              <c:numCache>
                <c:formatCode>0.000</c:formatCode>
                <c:ptCount val="24"/>
                <c:pt idx="0">
                  <c:v>0.28525106981396675</c:v>
                </c:pt>
                <c:pt idx="1">
                  <c:v>0.280483428388834</c:v>
                </c:pt>
                <c:pt idx="2">
                  <c:v>0.27700087800621986</c:v>
                </c:pt>
                <c:pt idx="3">
                  <c:v>0.27537360973656178</c:v>
                </c:pt>
                <c:pt idx="4">
                  <c:v>0.27797123044729233</c:v>
                </c:pt>
                <c:pt idx="5">
                  <c:v>0.29050103574991226</c:v>
                </c:pt>
                <c:pt idx="6">
                  <c:v>0.30718528665602207</c:v>
                </c:pt>
                <c:pt idx="7">
                  <c:v>0.32587057165801525</c:v>
                </c:pt>
                <c:pt idx="8">
                  <c:v>0.3436773270368576</c:v>
                </c:pt>
                <c:pt idx="9">
                  <c:v>0.35638776607811451</c:v>
                </c:pt>
                <c:pt idx="10">
                  <c:v>0.3683320302516222</c:v>
                </c:pt>
                <c:pt idx="11">
                  <c:v>0.37378268130123615</c:v>
                </c:pt>
                <c:pt idx="12">
                  <c:v>0.37225455977022648</c:v>
                </c:pt>
                <c:pt idx="13">
                  <c:v>0.37648694962263107</c:v>
                </c:pt>
                <c:pt idx="14">
                  <c:v>0.37626584060490131</c:v>
                </c:pt>
                <c:pt idx="15">
                  <c:v>0.37364968843758106</c:v>
                </c:pt>
                <c:pt idx="16">
                  <c:v>0.36797010712325573</c:v>
                </c:pt>
                <c:pt idx="17">
                  <c:v>0.35825730860233307</c:v>
                </c:pt>
                <c:pt idx="18">
                  <c:v>0.3446960560977459</c:v>
                </c:pt>
                <c:pt idx="19">
                  <c:v>0.33876571245491505</c:v>
                </c:pt>
                <c:pt idx="20">
                  <c:v>0.33353188075125217</c:v>
                </c:pt>
                <c:pt idx="21">
                  <c:v>0.3229659628123045</c:v>
                </c:pt>
                <c:pt idx="22">
                  <c:v>0.30896038748323917</c:v>
                </c:pt>
                <c:pt idx="23">
                  <c:v>0.29545359127223492</c:v>
                </c:pt>
              </c:numCache>
            </c:numRef>
          </c:val>
          <c:smooth val="0"/>
        </c:ser>
        <c:ser>
          <c:idx val="3"/>
          <c:order val="6"/>
          <c:tx>
            <c:strRef>
              <c:f>Data!$D$134</c:f>
              <c:strCache>
                <c:ptCount val="1"/>
                <c:pt idx="0">
                  <c:v>CBP DO Pred</c:v>
                </c:pt>
              </c:strCache>
            </c:strRef>
          </c:tx>
          <c:spPr>
            <a:ln w="38100" cap="rnd">
              <a:solidFill>
                <a:schemeClr val="accent4"/>
              </a:solidFill>
              <a:prstDash val="dash"/>
              <a:round/>
            </a:ln>
            <a:effectLst/>
          </c:spPr>
          <c:marker>
            <c:symbol val="none"/>
          </c:marker>
          <c:val>
            <c:numRef>
              <c:f>Data!$E$134:$AB$134</c:f>
              <c:numCache>
                <c:formatCode>0.000</c:formatCode>
                <c:ptCount val="24"/>
                <c:pt idx="0">
                  <c:v>0.11415224755182862</c:v>
                </c:pt>
                <c:pt idx="1">
                  <c:v>0.11043472262099385</c:v>
                </c:pt>
                <c:pt idx="2">
                  <c:v>0.10783019382506609</c:v>
                </c:pt>
                <c:pt idx="3">
                  <c:v>0.10785695957019925</c:v>
                </c:pt>
                <c:pt idx="4">
                  <c:v>0.11188413668423891</c:v>
                </c:pt>
                <c:pt idx="5">
                  <c:v>0.11753960885107517</c:v>
                </c:pt>
                <c:pt idx="6">
                  <c:v>0.13495911005884409</c:v>
                </c:pt>
                <c:pt idx="7">
                  <c:v>0.13947985926643014</c:v>
                </c:pt>
                <c:pt idx="8">
                  <c:v>0.1452298779040575</c:v>
                </c:pt>
                <c:pt idx="9">
                  <c:v>0.15147729776799679</c:v>
                </c:pt>
                <c:pt idx="10">
                  <c:v>0.16251655854284763</c:v>
                </c:pt>
                <c:pt idx="11">
                  <c:v>0.16809550672769547</c:v>
                </c:pt>
                <c:pt idx="12">
                  <c:v>0.17330975458025932</c:v>
                </c:pt>
                <c:pt idx="13">
                  <c:v>0.17841588519513607</c:v>
                </c:pt>
                <c:pt idx="14">
                  <c:v>0.18147929944097996</c:v>
                </c:pt>
                <c:pt idx="15">
                  <c:v>0.18519710563123226</c:v>
                </c:pt>
                <c:pt idx="16">
                  <c:v>0.18898812029510736</c:v>
                </c:pt>
                <c:pt idx="17">
                  <c:v>0.1931215925142169</c:v>
                </c:pt>
                <c:pt idx="18">
                  <c:v>0.19680477492511272</c:v>
                </c:pt>
                <c:pt idx="19">
                  <c:v>0.19646124169230461</c:v>
                </c:pt>
                <c:pt idx="20">
                  <c:v>0.1908319815993309</c:v>
                </c:pt>
                <c:pt idx="21">
                  <c:v>0.16956387832760811</c:v>
                </c:pt>
                <c:pt idx="22">
                  <c:v>0.13936028722673655</c:v>
                </c:pt>
                <c:pt idx="23">
                  <c:v>0.12440185062587261</c:v>
                </c:pt>
              </c:numCache>
            </c:numRef>
          </c:val>
          <c:smooth val="0"/>
        </c:ser>
        <c:ser>
          <c:idx val="2"/>
          <c:order val="7"/>
          <c:tx>
            <c:strRef>
              <c:f>Data!$D$133</c:f>
              <c:strCache>
                <c:ptCount val="1"/>
                <c:pt idx="0">
                  <c:v>CBP DO Act</c:v>
                </c:pt>
              </c:strCache>
            </c:strRef>
          </c:tx>
          <c:spPr>
            <a:ln w="28575" cap="rnd">
              <a:solidFill>
                <a:schemeClr val="accent3"/>
              </a:solidFill>
              <a:round/>
            </a:ln>
            <a:effectLst/>
          </c:spPr>
          <c:marker>
            <c:symbol val="none"/>
          </c:marker>
          <c:val>
            <c:numRef>
              <c:f>Data!$E$133:$AB$133</c:f>
              <c:numCache>
                <c:formatCode>0.000</c:formatCode>
                <c:ptCount val="24"/>
                <c:pt idx="0">
                  <c:v>0.11483734101057053</c:v>
                </c:pt>
                <c:pt idx="1">
                  <c:v>0.11109375301748514</c:v>
                </c:pt>
                <c:pt idx="2">
                  <c:v>0.10839226562529802</c:v>
                </c:pt>
                <c:pt idx="3">
                  <c:v>0.10835824720561504</c:v>
                </c:pt>
                <c:pt idx="4">
                  <c:v>0.11244728835299611</c:v>
                </c:pt>
                <c:pt idx="5">
                  <c:v>0.11820707656443119</c:v>
                </c:pt>
                <c:pt idx="6">
                  <c:v>0.13569884095340967</c:v>
                </c:pt>
                <c:pt idx="7">
                  <c:v>0.14015767816454172</c:v>
                </c:pt>
                <c:pt idx="8">
                  <c:v>0.14582941215485334</c:v>
                </c:pt>
                <c:pt idx="9">
                  <c:v>0.15214346908032894</c:v>
                </c:pt>
                <c:pt idx="10">
                  <c:v>0.16283410973846912</c:v>
                </c:pt>
                <c:pt idx="11">
                  <c:v>0.16840405762195587</c:v>
                </c:pt>
                <c:pt idx="12">
                  <c:v>0.17371473275125027</c:v>
                </c:pt>
                <c:pt idx="13">
                  <c:v>0.17877769842743874</c:v>
                </c:pt>
                <c:pt idx="14">
                  <c:v>0.18202648777514696</c:v>
                </c:pt>
                <c:pt idx="15">
                  <c:v>0.18571782950311899</c:v>
                </c:pt>
                <c:pt idx="16">
                  <c:v>0.18959968630224466</c:v>
                </c:pt>
                <c:pt idx="17">
                  <c:v>0.19376456923782825</c:v>
                </c:pt>
                <c:pt idx="18">
                  <c:v>0.19717094674706459</c:v>
                </c:pt>
                <c:pt idx="19">
                  <c:v>0.19705376494675875</c:v>
                </c:pt>
                <c:pt idx="20">
                  <c:v>0.19139157421886921</c:v>
                </c:pt>
                <c:pt idx="21">
                  <c:v>0.17008974030613899</c:v>
                </c:pt>
                <c:pt idx="22">
                  <c:v>0.14006722252815962</c:v>
                </c:pt>
                <c:pt idx="23">
                  <c:v>0.12483611842617393</c:v>
                </c:pt>
              </c:numCache>
            </c:numRef>
          </c:val>
          <c:smooth val="0"/>
        </c:ser>
        <c:dLbls>
          <c:showLegendKey val="0"/>
          <c:showVal val="0"/>
          <c:showCatName val="0"/>
          <c:showSerName val="0"/>
          <c:showPercent val="0"/>
          <c:showBubbleSize val="0"/>
        </c:dLbls>
        <c:smooth val="0"/>
        <c:axId val="376505488"/>
        <c:axId val="376503808"/>
      </c:lineChart>
      <c:catAx>
        <c:axId val="376505488"/>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76503808"/>
        <c:crosses val="autoZero"/>
        <c:auto val="1"/>
        <c:lblAlgn val="ctr"/>
        <c:lblOffset val="100"/>
        <c:noMultiLvlLbl val="0"/>
      </c:catAx>
      <c:valAx>
        <c:axId val="3765038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Per-Customer Loads (MW)</a:t>
                </a: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76505488"/>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Sheet2!$AM$36</c:f>
              <c:strCache>
                <c:ptCount val="1"/>
                <c:pt idx="0">
                  <c:v>CBP DA Pred</c:v>
                </c:pt>
              </c:strCache>
            </c:strRef>
          </c:tx>
          <c:spPr>
            <a:ln w="34925" cap="rnd">
              <a:solidFill>
                <a:schemeClr val="accent2"/>
              </a:solidFill>
              <a:prstDash val="dash"/>
              <a:round/>
            </a:ln>
            <a:effectLst/>
          </c:spPr>
          <c:marker>
            <c:symbol val="none"/>
          </c:marker>
          <c:val>
            <c:numRef>
              <c:f>Sheet2!$AM$37:$AM$60</c:f>
              <c:numCache>
                <c:formatCode>0.000</c:formatCode>
                <c:ptCount val="24"/>
                <c:pt idx="0">
                  <c:v>0.13664759024057857</c:v>
                </c:pt>
                <c:pt idx="1">
                  <c:v>0.13499347276893664</c:v>
                </c:pt>
                <c:pt idx="2">
                  <c:v>0.13002103787881358</c:v>
                </c:pt>
                <c:pt idx="3">
                  <c:v>0.13200057859038128</c:v>
                </c:pt>
                <c:pt idx="4">
                  <c:v>0.14250103890159985</c:v>
                </c:pt>
                <c:pt idx="5">
                  <c:v>0.16959283749262491</c:v>
                </c:pt>
                <c:pt idx="6">
                  <c:v>0.19544097045321523</c:v>
                </c:pt>
                <c:pt idx="7">
                  <c:v>0.23359795760961224</c:v>
                </c:pt>
                <c:pt idx="8">
                  <c:v>0.26417835387918681</c:v>
                </c:pt>
                <c:pt idx="9">
                  <c:v>0.28957341151472965</c:v>
                </c:pt>
                <c:pt idx="10">
                  <c:v>0.3077692831004108</c:v>
                </c:pt>
                <c:pt idx="11">
                  <c:v>0.31090403633353153</c:v>
                </c:pt>
                <c:pt idx="12">
                  <c:v>0.30717941419577893</c:v>
                </c:pt>
                <c:pt idx="13">
                  <c:v>0.30130200143213626</c:v>
                </c:pt>
                <c:pt idx="14">
                  <c:v>0.29836506718470729</c:v>
                </c:pt>
                <c:pt idx="15">
                  <c:v>0.29868236588843072</c:v>
                </c:pt>
                <c:pt idx="16">
                  <c:v>0.29449302031670094</c:v>
                </c:pt>
                <c:pt idx="17">
                  <c:v>0.28088767385041269</c:v>
                </c:pt>
                <c:pt idx="18">
                  <c:v>0.23197011539229642</c:v>
                </c:pt>
                <c:pt idx="19">
                  <c:v>0.21036962852065944</c:v>
                </c:pt>
                <c:pt idx="20">
                  <c:v>0.19915441690403737</c:v>
                </c:pt>
                <c:pt idx="21">
                  <c:v>0.17573561583772115</c:v>
                </c:pt>
                <c:pt idx="22">
                  <c:v>0.15608302467031246</c:v>
                </c:pt>
                <c:pt idx="23">
                  <c:v>0.14686902814809188</c:v>
                </c:pt>
              </c:numCache>
            </c:numRef>
          </c:val>
          <c:smooth val="0"/>
        </c:ser>
        <c:ser>
          <c:idx val="0"/>
          <c:order val="1"/>
          <c:tx>
            <c:strRef>
              <c:f>Sheet2!$AL$36</c:f>
              <c:strCache>
                <c:ptCount val="1"/>
                <c:pt idx="0">
                  <c:v>CBP DA Actual</c:v>
                </c:pt>
              </c:strCache>
            </c:strRef>
          </c:tx>
          <c:spPr>
            <a:ln w="34925" cap="rnd">
              <a:solidFill>
                <a:schemeClr val="accent1"/>
              </a:solidFill>
              <a:round/>
            </a:ln>
            <a:effectLst/>
          </c:spPr>
          <c:marker>
            <c:symbol val="none"/>
          </c:marker>
          <c:val>
            <c:numRef>
              <c:f>Sheet2!$AL$37:$AL$60</c:f>
              <c:numCache>
                <c:formatCode>0.000</c:formatCode>
                <c:ptCount val="24"/>
                <c:pt idx="0">
                  <c:v>0.13691471765438715</c:v>
                </c:pt>
                <c:pt idx="1">
                  <c:v>0.13621715290678871</c:v>
                </c:pt>
                <c:pt idx="2">
                  <c:v>0.13169267194138634</c:v>
                </c:pt>
                <c:pt idx="3">
                  <c:v>0.13460515605078804</c:v>
                </c:pt>
                <c:pt idx="4">
                  <c:v>0.14346523665719563</c:v>
                </c:pt>
                <c:pt idx="5">
                  <c:v>0.17013731598854065</c:v>
                </c:pt>
                <c:pt idx="6">
                  <c:v>0.19969449606206682</c:v>
                </c:pt>
                <c:pt idx="7">
                  <c:v>0.23330914643075731</c:v>
                </c:pt>
                <c:pt idx="8">
                  <c:v>0.26320605311128831</c:v>
                </c:pt>
                <c:pt idx="9">
                  <c:v>0.28833285967508954</c:v>
                </c:pt>
                <c:pt idx="10">
                  <c:v>0.30653094086382127</c:v>
                </c:pt>
                <c:pt idx="11">
                  <c:v>0.30887941684987807</c:v>
                </c:pt>
                <c:pt idx="12">
                  <c:v>0.30613917443487382</c:v>
                </c:pt>
                <c:pt idx="13">
                  <c:v>0.30078598360220593</c:v>
                </c:pt>
                <c:pt idx="14">
                  <c:v>0.29720408883359695</c:v>
                </c:pt>
                <c:pt idx="15">
                  <c:v>0.30154080854521859</c:v>
                </c:pt>
                <c:pt idx="16">
                  <c:v>0.29360945522785187</c:v>
                </c:pt>
                <c:pt idx="17">
                  <c:v>0.27532981832822162</c:v>
                </c:pt>
                <c:pt idx="18">
                  <c:v>0.22518441246615517</c:v>
                </c:pt>
                <c:pt idx="19">
                  <c:v>0.20559890733824837</c:v>
                </c:pt>
                <c:pt idx="20">
                  <c:v>0.19696078697840372</c:v>
                </c:pt>
                <c:pt idx="21">
                  <c:v>0.17503953145609963</c:v>
                </c:pt>
                <c:pt idx="22">
                  <c:v>0.15621861649884117</c:v>
                </c:pt>
                <c:pt idx="23">
                  <c:v>0.14835224217838711</c:v>
                </c:pt>
              </c:numCache>
            </c:numRef>
          </c:val>
          <c:smooth val="0"/>
        </c:ser>
        <c:ser>
          <c:idx val="3"/>
          <c:order val="2"/>
          <c:tx>
            <c:strRef>
              <c:f>Sheet2!$AO$36</c:f>
              <c:strCache>
                <c:ptCount val="1"/>
                <c:pt idx="0">
                  <c:v>CBP DO Pred</c:v>
                </c:pt>
              </c:strCache>
            </c:strRef>
          </c:tx>
          <c:spPr>
            <a:ln w="34925" cap="rnd">
              <a:solidFill>
                <a:schemeClr val="accent4"/>
              </a:solidFill>
              <a:prstDash val="dash"/>
              <a:round/>
            </a:ln>
            <a:effectLst/>
          </c:spPr>
          <c:marker>
            <c:symbol val="none"/>
          </c:marker>
          <c:val>
            <c:numRef>
              <c:f>Sheet2!$AO$37:$AO$60</c:f>
              <c:numCache>
                <c:formatCode>0.000</c:formatCode>
                <c:ptCount val="24"/>
                <c:pt idx="0">
                  <c:v>0.12713062330896471</c:v>
                </c:pt>
                <c:pt idx="1">
                  <c:v>0.12320358168195794</c:v>
                </c:pt>
                <c:pt idx="2">
                  <c:v>0.12053558966259897</c:v>
                </c:pt>
                <c:pt idx="3">
                  <c:v>0.12215001752347122</c:v>
                </c:pt>
                <c:pt idx="4">
                  <c:v>0.12833433469504485</c:v>
                </c:pt>
                <c:pt idx="5">
                  <c:v>0.13717846977122036</c:v>
                </c:pt>
                <c:pt idx="6">
                  <c:v>0.15715038371674808</c:v>
                </c:pt>
                <c:pt idx="7">
                  <c:v>0.16743923447750231</c:v>
                </c:pt>
                <c:pt idx="8">
                  <c:v>0.18153709909062327</c:v>
                </c:pt>
                <c:pt idx="9">
                  <c:v>0.19208472047323064</c:v>
                </c:pt>
                <c:pt idx="10">
                  <c:v>0.2045842946311574</c:v>
                </c:pt>
                <c:pt idx="11">
                  <c:v>0.21069505626772655</c:v>
                </c:pt>
                <c:pt idx="12">
                  <c:v>0.21305256438108136</c:v>
                </c:pt>
                <c:pt idx="13">
                  <c:v>0.21581780671337503</c:v>
                </c:pt>
                <c:pt idx="14">
                  <c:v>0.21627013440485354</c:v>
                </c:pt>
                <c:pt idx="15">
                  <c:v>0.21649313837657744</c:v>
                </c:pt>
                <c:pt idx="16">
                  <c:v>0.21612999358294924</c:v>
                </c:pt>
                <c:pt idx="17">
                  <c:v>0.21549556671101372</c:v>
                </c:pt>
                <c:pt idx="18">
                  <c:v>0.21077328092522091</c:v>
                </c:pt>
                <c:pt idx="19">
                  <c:v>0.20857306597409425</c:v>
                </c:pt>
                <c:pt idx="20">
                  <c:v>0.20170586767755908</c:v>
                </c:pt>
                <c:pt idx="21">
                  <c:v>0.17967901995152605</c:v>
                </c:pt>
                <c:pt idx="22">
                  <c:v>0.15362785922156441</c:v>
                </c:pt>
                <c:pt idx="23">
                  <c:v>0.13648799153757685</c:v>
                </c:pt>
              </c:numCache>
            </c:numRef>
          </c:val>
          <c:smooth val="0"/>
        </c:ser>
        <c:ser>
          <c:idx val="2"/>
          <c:order val="3"/>
          <c:tx>
            <c:strRef>
              <c:f>Sheet2!$AN$36</c:f>
              <c:strCache>
                <c:ptCount val="1"/>
                <c:pt idx="0">
                  <c:v>CBP DO Actual</c:v>
                </c:pt>
              </c:strCache>
            </c:strRef>
          </c:tx>
          <c:spPr>
            <a:ln w="34925" cap="rnd">
              <a:solidFill>
                <a:schemeClr val="accent3"/>
              </a:solidFill>
              <a:round/>
            </a:ln>
            <a:effectLst/>
          </c:spPr>
          <c:marker>
            <c:symbol val="none"/>
          </c:marker>
          <c:val>
            <c:numRef>
              <c:f>Sheet2!$AN$37:$AN$60</c:f>
              <c:numCache>
                <c:formatCode>0.000</c:formatCode>
                <c:ptCount val="24"/>
                <c:pt idx="0">
                  <c:v>0.12788977308405769</c:v>
                </c:pt>
                <c:pt idx="1">
                  <c:v>0.12392366346385744</c:v>
                </c:pt>
                <c:pt idx="2">
                  <c:v>0.12124524431096183</c:v>
                </c:pt>
                <c:pt idx="3">
                  <c:v>0.12261291841665904</c:v>
                </c:pt>
                <c:pt idx="4">
                  <c:v>0.12885240548186833</c:v>
                </c:pt>
                <c:pt idx="5">
                  <c:v>0.13758213321367899</c:v>
                </c:pt>
                <c:pt idx="6">
                  <c:v>0.15750384496317971</c:v>
                </c:pt>
                <c:pt idx="7">
                  <c:v>0.16438465151521894</c:v>
                </c:pt>
                <c:pt idx="8">
                  <c:v>0.17640603913201225</c:v>
                </c:pt>
                <c:pt idx="9">
                  <c:v>0.18709529605176714</c:v>
                </c:pt>
                <c:pt idx="10">
                  <c:v>0.20042752722899118</c:v>
                </c:pt>
                <c:pt idx="11">
                  <c:v>0.2070968962377972</c:v>
                </c:pt>
                <c:pt idx="12">
                  <c:v>0.21051156189706591</c:v>
                </c:pt>
                <c:pt idx="13">
                  <c:v>0.21376807159847683</c:v>
                </c:pt>
                <c:pt idx="14">
                  <c:v>0.21433344648944008</c:v>
                </c:pt>
                <c:pt idx="15">
                  <c:v>0.21496307849884033</c:v>
                </c:pt>
                <c:pt idx="16">
                  <c:v>0.2150149875217014</c:v>
                </c:pt>
                <c:pt idx="17">
                  <c:v>0.21377076539728376</c:v>
                </c:pt>
                <c:pt idx="18">
                  <c:v>0.21079640752739376</c:v>
                </c:pt>
                <c:pt idx="19">
                  <c:v>0.20971038109726375</c:v>
                </c:pt>
                <c:pt idx="20">
                  <c:v>0.20161040955119663</c:v>
                </c:pt>
                <c:pt idx="21">
                  <c:v>0.17942341665426889</c:v>
                </c:pt>
                <c:pt idx="22">
                  <c:v>0.15410603748427498</c:v>
                </c:pt>
                <c:pt idx="23">
                  <c:v>0.137509662244055</c:v>
                </c:pt>
              </c:numCache>
            </c:numRef>
          </c:val>
          <c:smooth val="0"/>
        </c:ser>
        <c:dLbls>
          <c:showLegendKey val="0"/>
          <c:showVal val="0"/>
          <c:showCatName val="0"/>
          <c:showSerName val="0"/>
          <c:showPercent val="0"/>
          <c:showBubbleSize val="0"/>
        </c:dLbls>
        <c:smooth val="0"/>
        <c:axId val="445319216"/>
        <c:axId val="382385392"/>
      </c:lineChart>
      <c:catAx>
        <c:axId val="44531921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Hour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2385392"/>
        <c:crosses val="autoZero"/>
        <c:auto val="1"/>
        <c:lblAlgn val="ctr"/>
        <c:lblOffset val="100"/>
        <c:noMultiLvlLbl val="0"/>
      </c:catAx>
      <c:valAx>
        <c:axId val="3823853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Per-Customer Load (MW)</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531921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B073A-33C5-4683-B955-48F1E4B4E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99</Pages>
  <Words>16166</Words>
  <Characters>94981</Characters>
  <Application>Microsoft Office Word</Application>
  <DocSecurity>0</DocSecurity>
  <Lines>791</Lines>
  <Paragraphs>221</Paragraphs>
  <ScaleCrop>false</ScaleCrop>
  <HeadingPairs>
    <vt:vector size="2" baseType="variant">
      <vt:variant>
        <vt:lpstr>Title</vt:lpstr>
      </vt:variant>
      <vt:variant>
        <vt:i4>1</vt:i4>
      </vt:variant>
    </vt:vector>
  </HeadingPairs>
  <TitlesOfParts>
    <vt:vector size="1" baseType="lpstr">
      <vt:lpstr>Abstract</vt:lpstr>
    </vt:vector>
  </TitlesOfParts>
  <Company>Christensen Associates</Company>
  <LinksUpToDate>false</LinksUpToDate>
  <CharactersWithSpaces>110926</CharactersWithSpaces>
  <SharedDoc>false</SharedDoc>
  <HLinks>
    <vt:vector size="972" baseType="variant">
      <vt:variant>
        <vt:i4>1048625</vt:i4>
      </vt:variant>
      <vt:variant>
        <vt:i4>968</vt:i4>
      </vt:variant>
      <vt:variant>
        <vt:i4>0</vt:i4>
      </vt:variant>
      <vt:variant>
        <vt:i4>5</vt:i4>
      </vt:variant>
      <vt:variant>
        <vt:lpwstr/>
      </vt:variant>
      <vt:variant>
        <vt:lpwstr>_Toc352074769</vt:lpwstr>
      </vt:variant>
      <vt:variant>
        <vt:i4>1048625</vt:i4>
      </vt:variant>
      <vt:variant>
        <vt:i4>962</vt:i4>
      </vt:variant>
      <vt:variant>
        <vt:i4>0</vt:i4>
      </vt:variant>
      <vt:variant>
        <vt:i4>5</vt:i4>
      </vt:variant>
      <vt:variant>
        <vt:lpwstr/>
      </vt:variant>
      <vt:variant>
        <vt:lpwstr>_Toc352074768</vt:lpwstr>
      </vt:variant>
      <vt:variant>
        <vt:i4>1048625</vt:i4>
      </vt:variant>
      <vt:variant>
        <vt:i4>956</vt:i4>
      </vt:variant>
      <vt:variant>
        <vt:i4>0</vt:i4>
      </vt:variant>
      <vt:variant>
        <vt:i4>5</vt:i4>
      </vt:variant>
      <vt:variant>
        <vt:lpwstr/>
      </vt:variant>
      <vt:variant>
        <vt:lpwstr>_Toc352074767</vt:lpwstr>
      </vt:variant>
      <vt:variant>
        <vt:i4>1048625</vt:i4>
      </vt:variant>
      <vt:variant>
        <vt:i4>950</vt:i4>
      </vt:variant>
      <vt:variant>
        <vt:i4>0</vt:i4>
      </vt:variant>
      <vt:variant>
        <vt:i4>5</vt:i4>
      </vt:variant>
      <vt:variant>
        <vt:lpwstr/>
      </vt:variant>
      <vt:variant>
        <vt:lpwstr>_Toc352074766</vt:lpwstr>
      </vt:variant>
      <vt:variant>
        <vt:i4>1048625</vt:i4>
      </vt:variant>
      <vt:variant>
        <vt:i4>944</vt:i4>
      </vt:variant>
      <vt:variant>
        <vt:i4>0</vt:i4>
      </vt:variant>
      <vt:variant>
        <vt:i4>5</vt:i4>
      </vt:variant>
      <vt:variant>
        <vt:lpwstr/>
      </vt:variant>
      <vt:variant>
        <vt:lpwstr>_Toc352074765</vt:lpwstr>
      </vt:variant>
      <vt:variant>
        <vt:i4>1048625</vt:i4>
      </vt:variant>
      <vt:variant>
        <vt:i4>938</vt:i4>
      </vt:variant>
      <vt:variant>
        <vt:i4>0</vt:i4>
      </vt:variant>
      <vt:variant>
        <vt:i4>5</vt:i4>
      </vt:variant>
      <vt:variant>
        <vt:lpwstr/>
      </vt:variant>
      <vt:variant>
        <vt:lpwstr>_Toc352074764</vt:lpwstr>
      </vt:variant>
      <vt:variant>
        <vt:i4>1048625</vt:i4>
      </vt:variant>
      <vt:variant>
        <vt:i4>932</vt:i4>
      </vt:variant>
      <vt:variant>
        <vt:i4>0</vt:i4>
      </vt:variant>
      <vt:variant>
        <vt:i4>5</vt:i4>
      </vt:variant>
      <vt:variant>
        <vt:lpwstr/>
      </vt:variant>
      <vt:variant>
        <vt:lpwstr>_Toc352074763</vt:lpwstr>
      </vt:variant>
      <vt:variant>
        <vt:i4>1048625</vt:i4>
      </vt:variant>
      <vt:variant>
        <vt:i4>926</vt:i4>
      </vt:variant>
      <vt:variant>
        <vt:i4>0</vt:i4>
      </vt:variant>
      <vt:variant>
        <vt:i4>5</vt:i4>
      </vt:variant>
      <vt:variant>
        <vt:lpwstr/>
      </vt:variant>
      <vt:variant>
        <vt:lpwstr>_Toc352074762</vt:lpwstr>
      </vt:variant>
      <vt:variant>
        <vt:i4>1048625</vt:i4>
      </vt:variant>
      <vt:variant>
        <vt:i4>920</vt:i4>
      </vt:variant>
      <vt:variant>
        <vt:i4>0</vt:i4>
      </vt:variant>
      <vt:variant>
        <vt:i4>5</vt:i4>
      </vt:variant>
      <vt:variant>
        <vt:lpwstr/>
      </vt:variant>
      <vt:variant>
        <vt:lpwstr>_Toc352074761</vt:lpwstr>
      </vt:variant>
      <vt:variant>
        <vt:i4>1048625</vt:i4>
      </vt:variant>
      <vt:variant>
        <vt:i4>914</vt:i4>
      </vt:variant>
      <vt:variant>
        <vt:i4>0</vt:i4>
      </vt:variant>
      <vt:variant>
        <vt:i4>5</vt:i4>
      </vt:variant>
      <vt:variant>
        <vt:lpwstr/>
      </vt:variant>
      <vt:variant>
        <vt:lpwstr>_Toc352074760</vt:lpwstr>
      </vt:variant>
      <vt:variant>
        <vt:i4>1245233</vt:i4>
      </vt:variant>
      <vt:variant>
        <vt:i4>908</vt:i4>
      </vt:variant>
      <vt:variant>
        <vt:i4>0</vt:i4>
      </vt:variant>
      <vt:variant>
        <vt:i4>5</vt:i4>
      </vt:variant>
      <vt:variant>
        <vt:lpwstr/>
      </vt:variant>
      <vt:variant>
        <vt:lpwstr>_Toc352074759</vt:lpwstr>
      </vt:variant>
      <vt:variant>
        <vt:i4>1245233</vt:i4>
      </vt:variant>
      <vt:variant>
        <vt:i4>902</vt:i4>
      </vt:variant>
      <vt:variant>
        <vt:i4>0</vt:i4>
      </vt:variant>
      <vt:variant>
        <vt:i4>5</vt:i4>
      </vt:variant>
      <vt:variant>
        <vt:lpwstr/>
      </vt:variant>
      <vt:variant>
        <vt:lpwstr>_Toc352074758</vt:lpwstr>
      </vt:variant>
      <vt:variant>
        <vt:i4>1245233</vt:i4>
      </vt:variant>
      <vt:variant>
        <vt:i4>896</vt:i4>
      </vt:variant>
      <vt:variant>
        <vt:i4>0</vt:i4>
      </vt:variant>
      <vt:variant>
        <vt:i4>5</vt:i4>
      </vt:variant>
      <vt:variant>
        <vt:lpwstr/>
      </vt:variant>
      <vt:variant>
        <vt:lpwstr>_Toc352074757</vt:lpwstr>
      </vt:variant>
      <vt:variant>
        <vt:i4>1245233</vt:i4>
      </vt:variant>
      <vt:variant>
        <vt:i4>890</vt:i4>
      </vt:variant>
      <vt:variant>
        <vt:i4>0</vt:i4>
      </vt:variant>
      <vt:variant>
        <vt:i4>5</vt:i4>
      </vt:variant>
      <vt:variant>
        <vt:lpwstr/>
      </vt:variant>
      <vt:variant>
        <vt:lpwstr>_Toc352074756</vt:lpwstr>
      </vt:variant>
      <vt:variant>
        <vt:i4>1245233</vt:i4>
      </vt:variant>
      <vt:variant>
        <vt:i4>884</vt:i4>
      </vt:variant>
      <vt:variant>
        <vt:i4>0</vt:i4>
      </vt:variant>
      <vt:variant>
        <vt:i4>5</vt:i4>
      </vt:variant>
      <vt:variant>
        <vt:lpwstr/>
      </vt:variant>
      <vt:variant>
        <vt:lpwstr>_Toc352074755</vt:lpwstr>
      </vt:variant>
      <vt:variant>
        <vt:i4>1245233</vt:i4>
      </vt:variant>
      <vt:variant>
        <vt:i4>878</vt:i4>
      </vt:variant>
      <vt:variant>
        <vt:i4>0</vt:i4>
      </vt:variant>
      <vt:variant>
        <vt:i4>5</vt:i4>
      </vt:variant>
      <vt:variant>
        <vt:lpwstr/>
      </vt:variant>
      <vt:variant>
        <vt:lpwstr>_Toc352074754</vt:lpwstr>
      </vt:variant>
      <vt:variant>
        <vt:i4>1245233</vt:i4>
      </vt:variant>
      <vt:variant>
        <vt:i4>872</vt:i4>
      </vt:variant>
      <vt:variant>
        <vt:i4>0</vt:i4>
      </vt:variant>
      <vt:variant>
        <vt:i4>5</vt:i4>
      </vt:variant>
      <vt:variant>
        <vt:lpwstr/>
      </vt:variant>
      <vt:variant>
        <vt:lpwstr>_Toc352074753</vt:lpwstr>
      </vt:variant>
      <vt:variant>
        <vt:i4>1245233</vt:i4>
      </vt:variant>
      <vt:variant>
        <vt:i4>866</vt:i4>
      </vt:variant>
      <vt:variant>
        <vt:i4>0</vt:i4>
      </vt:variant>
      <vt:variant>
        <vt:i4>5</vt:i4>
      </vt:variant>
      <vt:variant>
        <vt:lpwstr/>
      </vt:variant>
      <vt:variant>
        <vt:lpwstr>_Toc352074752</vt:lpwstr>
      </vt:variant>
      <vt:variant>
        <vt:i4>1245233</vt:i4>
      </vt:variant>
      <vt:variant>
        <vt:i4>860</vt:i4>
      </vt:variant>
      <vt:variant>
        <vt:i4>0</vt:i4>
      </vt:variant>
      <vt:variant>
        <vt:i4>5</vt:i4>
      </vt:variant>
      <vt:variant>
        <vt:lpwstr/>
      </vt:variant>
      <vt:variant>
        <vt:lpwstr>_Toc352074751</vt:lpwstr>
      </vt:variant>
      <vt:variant>
        <vt:i4>1245233</vt:i4>
      </vt:variant>
      <vt:variant>
        <vt:i4>854</vt:i4>
      </vt:variant>
      <vt:variant>
        <vt:i4>0</vt:i4>
      </vt:variant>
      <vt:variant>
        <vt:i4>5</vt:i4>
      </vt:variant>
      <vt:variant>
        <vt:lpwstr/>
      </vt:variant>
      <vt:variant>
        <vt:lpwstr>_Toc352074750</vt:lpwstr>
      </vt:variant>
      <vt:variant>
        <vt:i4>1179697</vt:i4>
      </vt:variant>
      <vt:variant>
        <vt:i4>848</vt:i4>
      </vt:variant>
      <vt:variant>
        <vt:i4>0</vt:i4>
      </vt:variant>
      <vt:variant>
        <vt:i4>5</vt:i4>
      </vt:variant>
      <vt:variant>
        <vt:lpwstr/>
      </vt:variant>
      <vt:variant>
        <vt:lpwstr>_Toc352074749</vt:lpwstr>
      </vt:variant>
      <vt:variant>
        <vt:i4>1179697</vt:i4>
      </vt:variant>
      <vt:variant>
        <vt:i4>842</vt:i4>
      </vt:variant>
      <vt:variant>
        <vt:i4>0</vt:i4>
      </vt:variant>
      <vt:variant>
        <vt:i4>5</vt:i4>
      </vt:variant>
      <vt:variant>
        <vt:lpwstr/>
      </vt:variant>
      <vt:variant>
        <vt:lpwstr>_Toc352074748</vt:lpwstr>
      </vt:variant>
      <vt:variant>
        <vt:i4>1179697</vt:i4>
      </vt:variant>
      <vt:variant>
        <vt:i4>836</vt:i4>
      </vt:variant>
      <vt:variant>
        <vt:i4>0</vt:i4>
      </vt:variant>
      <vt:variant>
        <vt:i4>5</vt:i4>
      </vt:variant>
      <vt:variant>
        <vt:lpwstr/>
      </vt:variant>
      <vt:variant>
        <vt:lpwstr>_Toc352074747</vt:lpwstr>
      </vt:variant>
      <vt:variant>
        <vt:i4>1179697</vt:i4>
      </vt:variant>
      <vt:variant>
        <vt:i4>830</vt:i4>
      </vt:variant>
      <vt:variant>
        <vt:i4>0</vt:i4>
      </vt:variant>
      <vt:variant>
        <vt:i4>5</vt:i4>
      </vt:variant>
      <vt:variant>
        <vt:lpwstr/>
      </vt:variant>
      <vt:variant>
        <vt:lpwstr>_Toc352074746</vt:lpwstr>
      </vt:variant>
      <vt:variant>
        <vt:i4>1179697</vt:i4>
      </vt:variant>
      <vt:variant>
        <vt:i4>824</vt:i4>
      </vt:variant>
      <vt:variant>
        <vt:i4>0</vt:i4>
      </vt:variant>
      <vt:variant>
        <vt:i4>5</vt:i4>
      </vt:variant>
      <vt:variant>
        <vt:lpwstr/>
      </vt:variant>
      <vt:variant>
        <vt:lpwstr>_Toc352074745</vt:lpwstr>
      </vt:variant>
      <vt:variant>
        <vt:i4>1179697</vt:i4>
      </vt:variant>
      <vt:variant>
        <vt:i4>818</vt:i4>
      </vt:variant>
      <vt:variant>
        <vt:i4>0</vt:i4>
      </vt:variant>
      <vt:variant>
        <vt:i4>5</vt:i4>
      </vt:variant>
      <vt:variant>
        <vt:lpwstr/>
      </vt:variant>
      <vt:variant>
        <vt:lpwstr>_Toc352074744</vt:lpwstr>
      </vt:variant>
      <vt:variant>
        <vt:i4>1179697</vt:i4>
      </vt:variant>
      <vt:variant>
        <vt:i4>809</vt:i4>
      </vt:variant>
      <vt:variant>
        <vt:i4>0</vt:i4>
      </vt:variant>
      <vt:variant>
        <vt:i4>5</vt:i4>
      </vt:variant>
      <vt:variant>
        <vt:lpwstr/>
      </vt:variant>
      <vt:variant>
        <vt:lpwstr>_Toc352074743</vt:lpwstr>
      </vt:variant>
      <vt:variant>
        <vt:i4>1179697</vt:i4>
      </vt:variant>
      <vt:variant>
        <vt:i4>803</vt:i4>
      </vt:variant>
      <vt:variant>
        <vt:i4>0</vt:i4>
      </vt:variant>
      <vt:variant>
        <vt:i4>5</vt:i4>
      </vt:variant>
      <vt:variant>
        <vt:lpwstr/>
      </vt:variant>
      <vt:variant>
        <vt:lpwstr>_Toc352074742</vt:lpwstr>
      </vt:variant>
      <vt:variant>
        <vt:i4>1179697</vt:i4>
      </vt:variant>
      <vt:variant>
        <vt:i4>797</vt:i4>
      </vt:variant>
      <vt:variant>
        <vt:i4>0</vt:i4>
      </vt:variant>
      <vt:variant>
        <vt:i4>5</vt:i4>
      </vt:variant>
      <vt:variant>
        <vt:lpwstr/>
      </vt:variant>
      <vt:variant>
        <vt:lpwstr>_Toc352074741</vt:lpwstr>
      </vt:variant>
      <vt:variant>
        <vt:i4>1179697</vt:i4>
      </vt:variant>
      <vt:variant>
        <vt:i4>791</vt:i4>
      </vt:variant>
      <vt:variant>
        <vt:i4>0</vt:i4>
      </vt:variant>
      <vt:variant>
        <vt:i4>5</vt:i4>
      </vt:variant>
      <vt:variant>
        <vt:lpwstr/>
      </vt:variant>
      <vt:variant>
        <vt:lpwstr>_Toc352074740</vt:lpwstr>
      </vt:variant>
      <vt:variant>
        <vt:i4>1376305</vt:i4>
      </vt:variant>
      <vt:variant>
        <vt:i4>785</vt:i4>
      </vt:variant>
      <vt:variant>
        <vt:i4>0</vt:i4>
      </vt:variant>
      <vt:variant>
        <vt:i4>5</vt:i4>
      </vt:variant>
      <vt:variant>
        <vt:lpwstr/>
      </vt:variant>
      <vt:variant>
        <vt:lpwstr>_Toc352074739</vt:lpwstr>
      </vt:variant>
      <vt:variant>
        <vt:i4>1376305</vt:i4>
      </vt:variant>
      <vt:variant>
        <vt:i4>779</vt:i4>
      </vt:variant>
      <vt:variant>
        <vt:i4>0</vt:i4>
      </vt:variant>
      <vt:variant>
        <vt:i4>5</vt:i4>
      </vt:variant>
      <vt:variant>
        <vt:lpwstr/>
      </vt:variant>
      <vt:variant>
        <vt:lpwstr>_Toc352074738</vt:lpwstr>
      </vt:variant>
      <vt:variant>
        <vt:i4>1376305</vt:i4>
      </vt:variant>
      <vt:variant>
        <vt:i4>773</vt:i4>
      </vt:variant>
      <vt:variant>
        <vt:i4>0</vt:i4>
      </vt:variant>
      <vt:variant>
        <vt:i4>5</vt:i4>
      </vt:variant>
      <vt:variant>
        <vt:lpwstr/>
      </vt:variant>
      <vt:variant>
        <vt:lpwstr>_Toc352074737</vt:lpwstr>
      </vt:variant>
      <vt:variant>
        <vt:i4>1376305</vt:i4>
      </vt:variant>
      <vt:variant>
        <vt:i4>767</vt:i4>
      </vt:variant>
      <vt:variant>
        <vt:i4>0</vt:i4>
      </vt:variant>
      <vt:variant>
        <vt:i4>5</vt:i4>
      </vt:variant>
      <vt:variant>
        <vt:lpwstr/>
      </vt:variant>
      <vt:variant>
        <vt:lpwstr>_Toc352074736</vt:lpwstr>
      </vt:variant>
      <vt:variant>
        <vt:i4>1376305</vt:i4>
      </vt:variant>
      <vt:variant>
        <vt:i4>761</vt:i4>
      </vt:variant>
      <vt:variant>
        <vt:i4>0</vt:i4>
      </vt:variant>
      <vt:variant>
        <vt:i4>5</vt:i4>
      </vt:variant>
      <vt:variant>
        <vt:lpwstr/>
      </vt:variant>
      <vt:variant>
        <vt:lpwstr>_Toc352074735</vt:lpwstr>
      </vt:variant>
      <vt:variant>
        <vt:i4>1376305</vt:i4>
      </vt:variant>
      <vt:variant>
        <vt:i4>755</vt:i4>
      </vt:variant>
      <vt:variant>
        <vt:i4>0</vt:i4>
      </vt:variant>
      <vt:variant>
        <vt:i4>5</vt:i4>
      </vt:variant>
      <vt:variant>
        <vt:lpwstr/>
      </vt:variant>
      <vt:variant>
        <vt:lpwstr>_Toc352074734</vt:lpwstr>
      </vt:variant>
      <vt:variant>
        <vt:i4>1376305</vt:i4>
      </vt:variant>
      <vt:variant>
        <vt:i4>749</vt:i4>
      </vt:variant>
      <vt:variant>
        <vt:i4>0</vt:i4>
      </vt:variant>
      <vt:variant>
        <vt:i4>5</vt:i4>
      </vt:variant>
      <vt:variant>
        <vt:lpwstr/>
      </vt:variant>
      <vt:variant>
        <vt:lpwstr>_Toc352074733</vt:lpwstr>
      </vt:variant>
      <vt:variant>
        <vt:i4>1376305</vt:i4>
      </vt:variant>
      <vt:variant>
        <vt:i4>743</vt:i4>
      </vt:variant>
      <vt:variant>
        <vt:i4>0</vt:i4>
      </vt:variant>
      <vt:variant>
        <vt:i4>5</vt:i4>
      </vt:variant>
      <vt:variant>
        <vt:lpwstr/>
      </vt:variant>
      <vt:variant>
        <vt:lpwstr>_Toc352074732</vt:lpwstr>
      </vt:variant>
      <vt:variant>
        <vt:i4>1376305</vt:i4>
      </vt:variant>
      <vt:variant>
        <vt:i4>737</vt:i4>
      </vt:variant>
      <vt:variant>
        <vt:i4>0</vt:i4>
      </vt:variant>
      <vt:variant>
        <vt:i4>5</vt:i4>
      </vt:variant>
      <vt:variant>
        <vt:lpwstr/>
      </vt:variant>
      <vt:variant>
        <vt:lpwstr>_Toc352074731</vt:lpwstr>
      </vt:variant>
      <vt:variant>
        <vt:i4>1376305</vt:i4>
      </vt:variant>
      <vt:variant>
        <vt:i4>731</vt:i4>
      </vt:variant>
      <vt:variant>
        <vt:i4>0</vt:i4>
      </vt:variant>
      <vt:variant>
        <vt:i4>5</vt:i4>
      </vt:variant>
      <vt:variant>
        <vt:lpwstr/>
      </vt:variant>
      <vt:variant>
        <vt:lpwstr>_Toc352074730</vt:lpwstr>
      </vt:variant>
      <vt:variant>
        <vt:i4>1310769</vt:i4>
      </vt:variant>
      <vt:variant>
        <vt:i4>725</vt:i4>
      </vt:variant>
      <vt:variant>
        <vt:i4>0</vt:i4>
      </vt:variant>
      <vt:variant>
        <vt:i4>5</vt:i4>
      </vt:variant>
      <vt:variant>
        <vt:lpwstr/>
      </vt:variant>
      <vt:variant>
        <vt:lpwstr>_Toc352074729</vt:lpwstr>
      </vt:variant>
      <vt:variant>
        <vt:i4>1310769</vt:i4>
      </vt:variant>
      <vt:variant>
        <vt:i4>719</vt:i4>
      </vt:variant>
      <vt:variant>
        <vt:i4>0</vt:i4>
      </vt:variant>
      <vt:variant>
        <vt:i4>5</vt:i4>
      </vt:variant>
      <vt:variant>
        <vt:lpwstr/>
      </vt:variant>
      <vt:variant>
        <vt:lpwstr>_Toc352074728</vt:lpwstr>
      </vt:variant>
      <vt:variant>
        <vt:i4>1310769</vt:i4>
      </vt:variant>
      <vt:variant>
        <vt:i4>713</vt:i4>
      </vt:variant>
      <vt:variant>
        <vt:i4>0</vt:i4>
      </vt:variant>
      <vt:variant>
        <vt:i4>5</vt:i4>
      </vt:variant>
      <vt:variant>
        <vt:lpwstr/>
      </vt:variant>
      <vt:variant>
        <vt:lpwstr>_Toc352074727</vt:lpwstr>
      </vt:variant>
      <vt:variant>
        <vt:i4>1310769</vt:i4>
      </vt:variant>
      <vt:variant>
        <vt:i4>707</vt:i4>
      </vt:variant>
      <vt:variant>
        <vt:i4>0</vt:i4>
      </vt:variant>
      <vt:variant>
        <vt:i4>5</vt:i4>
      </vt:variant>
      <vt:variant>
        <vt:lpwstr/>
      </vt:variant>
      <vt:variant>
        <vt:lpwstr>_Toc352074726</vt:lpwstr>
      </vt:variant>
      <vt:variant>
        <vt:i4>1310769</vt:i4>
      </vt:variant>
      <vt:variant>
        <vt:i4>701</vt:i4>
      </vt:variant>
      <vt:variant>
        <vt:i4>0</vt:i4>
      </vt:variant>
      <vt:variant>
        <vt:i4>5</vt:i4>
      </vt:variant>
      <vt:variant>
        <vt:lpwstr/>
      </vt:variant>
      <vt:variant>
        <vt:lpwstr>_Toc352074725</vt:lpwstr>
      </vt:variant>
      <vt:variant>
        <vt:i4>1310769</vt:i4>
      </vt:variant>
      <vt:variant>
        <vt:i4>695</vt:i4>
      </vt:variant>
      <vt:variant>
        <vt:i4>0</vt:i4>
      </vt:variant>
      <vt:variant>
        <vt:i4>5</vt:i4>
      </vt:variant>
      <vt:variant>
        <vt:lpwstr/>
      </vt:variant>
      <vt:variant>
        <vt:lpwstr>_Toc352074724</vt:lpwstr>
      </vt:variant>
      <vt:variant>
        <vt:i4>1310769</vt:i4>
      </vt:variant>
      <vt:variant>
        <vt:i4>689</vt:i4>
      </vt:variant>
      <vt:variant>
        <vt:i4>0</vt:i4>
      </vt:variant>
      <vt:variant>
        <vt:i4>5</vt:i4>
      </vt:variant>
      <vt:variant>
        <vt:lpwstr/>
      </vt:variant>
      <vt:variant>
        <vt:lpwstr>_Toc352074723</vt:lpwstr>
      </vt:variant>
      <vt:variant>
        <vt:i4>1310769</vt:i4>
      </vt:variant>
      <vt:variant>
        <vt:i4>683</vt:i4>
      </vt:variant>
      <vt:variant>
        <vt:i4>0</vt:i4>
      </vt:variant>
      <vt:variant>
        <vt:i4>5</vt:i4>
      </vt:variant>
      <vt:variant>
        <vt:lpwstr/>
      </vt:variant>
      <vt:variant>
        <vt:lpwstr>_Toc352074722</vt:lpwstr>
      </vt:variant>
      <vt:variant>
        <vt:i4>1310769</vt:i4>
      </vt:variant>
      <vt:variant>
        <vt:i4>677</vt:i4>
      </vt:variant>
      <vt:variant>
        <vt:i4>0</vt:i4>
      </vt:variant>
      <vt:variant>
        <vt:i4>5</vt:i4>
      </vt:variant>
      <vt:variant>
        <vt:lpwstr/>
      </vt:variant>
      <vt:variant>
        <vt:lpwstr>_Toc352074721</vt:lpwstr>
      </vt:variant>
      <vt:variant>
        <vt:i4>1310769</vt:i4>
      </vt:variant>
      <vt:variant>
        <vt:i4>671</vt:i4>
      </vt:variant>
      <vt:variant>
        <vt:i4>0</vt:i4>
      </vt:variant>
      <vt:variant>
        <vt:i4>5</vt:i4>
      </vt:variant>
      <vt:variant>
        <vt:lpwstr/>
      </vt:variant>
      <vt:variant>
        <vt:lpwstr>_Toc352074720</vt:lpwstr>
      </vt:variant>
      <vt:variant>
        <vt:i4>1507377</vt:i4>
      </vt:variant>
      <vt:variant>
        <vt:i4>665</vt:i4>
      </vt:variant>
      <vt:variant>
        <vt:i4>0</vt:i4>
      </vt:variant>
      <vt:variant>
        <vt:i4>5</vt:i4>
      </vt:variant>
      <vt:variant>
        <vt:lpwstr/>
      </vt:variant>
      <vt:variant>
        <vt:lpwstr>_Toc352074719</vt:lpwstr>
      </vt:variant>
      <vt:variant>
        <vt:i4>1507377</vt:i4>
      </vt:variant>
      <vt:variant>
        <vt:i4>659</vt:i4>
      </vt:variant>
      <vt:variant>
        <vt:i4>0</vt:i4>
      </vt:variant>
      <vt:variant>
        <vt:i4>5</vt:i4>
      </vt:variant>
      <vt:variant>
        <vt:lpwstr/>
      </vt:variant>
      <vt:variant>
        <vt:lpwstr>_Toc352074718</vt:lpwstr>
      </vt:variant>
      <vt:variant>
        <vt:i4>1507377</vt:i4>
      </vt:variant>
      <vt:variant>
        <vt:i4>653</vt:i4>
      </vt:variant>
      <vt:variant>
        <vt:i4>0</vt:i4>
      </vt:variant>
      <vt:variant>
        <vt:i4>5</vt:i4>
      </vt:variant>
      <vt:variant>
        <vt:lpwstr/>
      </vt:variant>
      <vt:variant>
        <vt:lpwstr>_Toc352074717</vt:lpwstr>
      </vt:variant>
      <vt:variant>
        <vt:i4>1507377</vt:i4>
      </vt:variant>
      <vt:variant>
        <vt:i4>647</vt:i4>
      </vt:variant>
      <vt:variant>
        <vt:i4>0</vt:i4>
      </vt:variant>
      <vt:variant>
        <vt:i4>5</vt:i4>
      </vt:variant>
      <vt:variant>
        <vt:lpwstr/>
      </vt:variant>
      <vt:variant>
        <vt:lpwstr>_Toc352074716</vt:lpwstr>
      </vt:variant>
      <vt:variant>
        <vt:i4>1507377</vt:i4>
      </vt:variant>
      <vt:variant>
        <vt:i4>641</vt:i4>
      </vt:variant>
      <vt:variant>
        <vt:i4>0</vt:i4>
      </vt:variant>
      <vt:variant>
        <vt:i4>5</vt:i4>
      </vt:variant>
      <vt:variant>
        <vt:lpwstr/>
      </vt:variant>
      <vt:variant>
        <vt:lpwstr>_Toc352074715</vt:lpwstr>
      </vt:variant>
      <vt:variant>
        <vt:i4>1507377</vt:i4>
      </vt:variant>
      <vt:variant>
        <vt:i4>635</vt:i4>
      </vt:variant>
      <vt:variant>
        <vt:i4>0</vt:i4>
      </vt:variant>
      <vt:variant>
        <vt:i4>5</vt:i4>
      </vt:variant>
      <vt:variant>
        <vt:lpwstr/>
      </vt:variant>
      <vt:variant>
        <vt:lpwstr>_Toc352074714</vt:lpwstr>
      </vt:variant>
      <vt:variant>
        <vt:i4>1507377</vt:i4>
      </vt:variant>
      <vt:variant>
        <vt:i4>629</vt:i4>
      </vt:variant>
      <vt:variant>
        <vt:i4>0</vt:i4>
      </vt:variant>
      <vt:variant>
        <vt:i4>5</vt:i4>
      </vt:variant>
      <vt:variant>
        <vt:lpwstr/>
      </vt:variant>
      <vt:variant>
        <vt:lpwstr>_Toc352074713</vt:lpwstr>
      </vt:variant>
      <vt:variant>
        <vt:i4>1507377</vt:i4>
      </vt:variant>
      <vt:variant>
        <vt:i4>623</vt:i4>
      </vt:variant>
      <vt:variant>
        <vt:i4>0</vt:i4>
      </vt:variant>
      <vt:variant>
        <vt:i4>5</vt:i4>
      </vt:variant>
      <vt:variant>
        <vt:lpwstr/>
      </vt:variant>
      <vt:variant>
        <vt:lpwstr>_Toc352074712</vt:lpwstr>
      </vt:variant>
      <vt:variant>
        <vt:i4>1507377</vt:i4>
      </vt:variant>
      <vt:variant>
        <vt:i4>617</vt:i4>
      </vt:variant>
      <vt:variant>
        <vt:i4>0</vt:i4>
      </vt:variant>
      <vt:variant>
        <vt:i4>5</vt:i4>
      </vt:variant>
      <vt:variant>
        <vt:lpwstr/>
      </vt:variant>
      <vt:variant>
        <vt:lpwstr>_Toc352074711</vt:lpwstr>
      </vt:variant>
      <vt:variant>
        <vt:i4>1507377</vt:i4>
      </vt:variant>
      <vt:variant>
        <vt:i4>611</vt:i4>
      </vt:variant>
      <vt:variant>
        <vt:i4>0</vt:i4>
      </vt:variant>
      <vt:variant>
        <vt:i4>5</vt:i4>
      </vt:variant>
      <vt:variant>
        <vt:lpwstr/>
      </vt:variant>
      <vt:variant>
        <vt:lpwstr>_Toc352074710</vt:lpwstr>
      </vt:variant>
      <vt:variant>
        <vt:i4>1441841</vt:i4>
      </vt:variant>
      <vt:variant>
        <vt:i4>605</vt:i4>
      </vt:variant>
      <vt:variant>
        <vt:i4>0</vt:i4>
      </vt:variant>
      <vt:variant>
        <vt:i4>5</vt:i4>
      </vt:variant>
      <vt:variant>
        <vt:lpwstr/>
      </vt:variant>
      <vt:variant>
        <vt:lpwstr>_Toc352074709</vt:lpwstr>
      </vt:variant>
      <vt:variant>
        <vt:i4>1441841</vt:i4>
      </vt:variant>
      <vt:variant>
        <vt:i4>599</vt:i4>
      </vt:variant>
      <vt:variant>
        <vt:i4>0</vt:i4>
      </vt:variant>
      <vt:variant>
        <vt:i4>5</vt:i4>
      </vt:variant>
      <vt:variant>
        <vt:lpwstr/>
      </vt:variant>
      <vt:variant>
        <vt:lpwstr>_Toc352074708</vt:lpwstr>
      </vt:variant>
      <vt:variant>
        <vt:i4>1441841</vt:i4>
      </vt:variant>
      <vt:variant>
        <vt:i4>593</vt:i4>
      </vt:variant>
      <vt:variant>
        <vt:i4>0</vt:i4>
      </vt:variant>
      <vt:variant>
        <vt:i4>5</vt:i4>
      </vt:variant>
      <vt:variant>
        <vt:lpwstr/>
      </vt:variant>
      <vt:variant>
        <vt:lpwstr>_Toc352074707</vt:lpwstr>
      </vt:variant>
      <vt:variant>
        <vt:i4>1441841</vt:i4>
      </vt:variant>
      <vt:variant>
        <vt:i4>587</vt:i4>
      </vt:variant>
      <vt:variant>
        <vt:i4>0</vt:i4>
      </vt:variant>
      <vt:variant>
        <vt:i4>5</vt:i4>
      </vt:variant>
      <vt:variant>
        <vt:lpwstr/>
      </vt:variant>
      <vt:variant>
        <vt:lpwstr>_Toc352074706</vt:lpwstr>
      </vt:variant>
      <vt:variant>
        <vt:i4>1441841</vt:i4>
      </vt:variant>
      <vt:variant>
        <vt:i4>581</vt:i4>
      </vt:variant>
      <vt:variant>
        <vt:i4>0</vt:i4>
      </vt:variant>
      <vt:variant>
        <vt:i4>5</vt:i4>
      </vt:variant>
      <vt:variant>
        <vt:lpwstr/>
      </vt:variant>
      <vt:variant>
        <vt:lpwstr>_Toc352074705</vt:lpwstr>
      </vt:variant>
      <vt:variant>
        <vt:i4>1441841</vt:i4>
      </vt:variant>
      <vt:variant>
        <vt:i4>575</vt:i4>
      </vt:variant>
      <vt:variant>
        <vt:i4>0</vt:i4>
      </vt:variant>
      <vt:variant>
        <vt:i4>5</vt:i4>
      </vt:variant>
      <vt:variant>
        <vt:lpwstr/>
      </vt:variant>
      <vt:variant>
        <vt:lpwstr>_Toc352074704</vt:lpwstr>
      </vt:variant>
      <vt:variant>
        <vt:i4>1441841</vt:i4>
      </vt:variant>
      <vt:variant>
        <vt:i4>569</vt:i4>
      </vt:variant>
      <vt:variant>
        <vt:i4>0</vt:i4>
      </vt:variant>
      <vt:variant>
        <vt:i4>5</vt:i4>
      </vt:variant>
      <vt:variant>
        <vt:lpwstr/>
      </vt:variant>
      <vt:variant>
        <vt:lpwstr>_Toc352074703</vt:lpwstr>
      </vt:variant>
      <vt:variant>
        <vt:i4>1441841</vt:i4>
      </vt:variant>
      <vt:variant>
        <vt:i4>563</vt:i4>
      </vt:variant>
      <vt:variant>
        <vt:i4>0</vt:i4>
      </vt:variant>
      <vt:variant>
        <vt:i4>5</vt:i4>
      </vt:variant>
      <vt:variant>
        <vt:lpwstr/>
      </vt:variant>
      <vt:variant>
        <vt:lpwstr>_Toc352074702</vt:lpwstr>
      </vt:variant>
      <vt:variant>
        <vt:i4>1441841</vt:i4>
      </vt:variant>
      <vt:variant>
        <vt:i4>557</vt:i4>
      </vt:variant>
      <vt:variant>
        <vt:i4>0</vt:i4>
      </vt:variant>
      <vt:variant>
        <vt:i4>5</vt:i4>
      </vt:variant>
      <vt:variant>
        <vt:lpwstr/>
      </vt:variant>
      <vt:variant>
        <vt:lpwstr>_Toc352074701</vt:lpwstr>
      </vt:variant>
      <vt:variant>
        <vt:i4>1441841</vt:i4>
      </vt:variant>
      <vt:variant>
        <vt:i4>551</vt:i4>
      </vt:variant>
      <vt:variant>
        <vt:i4>0</vt:i4>
      </vt:variant>
      <vt:variant>
        <vt:i4>5</vt:i4>
      </vt:variant>
      <vt:variant>
        <vt:lpwstr/>
      </vt:variant>
      <vt:variant>
        <vt:lpwstr>_Toc352074700</vt:lpwstr>
      </vt:variant>
      <vt:variant>
        <vt:i4>2031664</vt:i4>
      </vt:variant>
      <vt:variant>
        <vt:i4>545</vt:i4>
      </vt:variant>
      <vt:variant>
        <vt:i4>0</vt:i4>
      </vt:variant>
      <vt:variant>
        <vt:i4>5</vt:i4>
      </vt:variant>
      <vt:variant>
        <vt:lpwstr/>
      </vt:variant>
      <vt:variant>
        <vt:lpwstr>_Toc352074699</vt:lpwstr>
      </vt:variant>
      <vt:variant>
        <vt:i4>2031664</vt:i4>
      </vt:variant>
      <vt:variant>
        <vt:i4>539</vt:i4>
      </vt:variant>
      <vt:variant>
        <vt:i4>0</vt:i4>
      </vt:variant>
      <vt:variant>
        <vt:i4>5</vt:i4>
      </vt:variant>
      <vt:variant>
        <vt:lpwstr/>
      </vt:variant>
      <vt:variant>
        <vt:lpwstr>_Toc352074698</vt:lpwstr>
      </vt:variant>
      <vt:variant>
        <vt:i4>2031664</vt:i4>
      </vt:variant>
      <vt:variant>
        <vt:i4>533</vt:i4>
      </vt:variant>
      <vt:variant>
        <vt:i4>0</vt:i4>
      </vt:variant>
      <vt:variant>
        <vt:i4>5</vt:i4>
      </vt:variant>
      <vt:variant>
        <vt:lpwstr/>
      </vt:variant>
      <vt:variant>
        <vt:lpwstr>_Toc352074697</vt:lpwstr>
      </vt:variant>
      <vt:variant>
        <vt:i4>2031664</vt:i4>
      </vt:variant>
      <vt:variant>
        <vt:i4>527</vt:i4>
      </vt:variant>
      <vt:variant>
        <vt:i4>0</vt:i4>
      </vt:variant>
      <vt:variant>
        <vt:i4>5</vt:i4>
      </vt:variant>
      <vt:variant>
        <vt:lpwstr/>
      </vt:variant>
      <vt:variant>
        <vt:lpwstr>_Toc352074696</vt:lpwstr>
      </vt:variant>
      <vt:variant>
        <vt:i4>2031664</vt:i4>
      </vt:variant>
      <vt:variant>
        <vt:i4>521</vt:i4>
      </vt:variant>
      <vt:variant>
        <vt:i4>0</vt:i4>
      </vt:variant>
      <vt:variant>
        <vt:i4>5</vt:i4>
      </vt:variant>
      <vt:variant>
        <vt:lpwstr/>
      </vt:variant>
      <vt:variant>
        <vt:lpwstr>_Toc352074695</vt:lpwstr>
      </vt:variant>
      <vt:variant>
        <vt:i4>2031664</vt:i4>
      </vt:variant>
      <vt:variant>
        <vt:i4>515</vt:i4>
      </vt:variant>
      <vt:variant>
        <vt:i4>0</vt:i4>
      </vt:variant>
      <vt:variant>
        <vt:i4>5</vt:i4>
      </vt:variant>
      <vt:variant>
        <vt:lpwstr/>
      </vt:variant>
      <vt:variant>
        <vt:lpwstr>_Toc352074694</vt:lpwstr>
      </vt:variant>
      <vt:variant>
        <vt:i4>2031664</vt:i4>
      </vt:variant>
      <vt:variant>
        <vt:i4>509</vt:i4>
      </vt:variant>
      <vt:variant>
        <vt:i4>0</vt:i4>
      </vt:variant>
      <vt:variant>
        <vt:i4>5</vt:i4>
      </vt:variant>
      <vt:variant>
        <vt:lpwstr/>
      </vt:variant>
      <vt:variant>
        <vt:lpwstr>_Toc352074693</vt:lpwstr>
      </vt:variant>
      <vt:variant>
        <vt:i4>2031664</vt:i4>
      </vt:variant>
      <vt:variant>
        <vt:i4>503</vt:i4>
      </vt:variant>
      <vt:variant>
        <vt:i4>0</vt:i4>
      </vt:variant>
      <vt:variant>
        <vt:i4>5</vt:i4>
      </vt:variant>
      <vt:variant>
        <vt:lpwstr/>
      </vt:variant>
      <vt:variant>
        <vt:lpwstr>_Toc352074692</vt:lpwstr>
      </vt:variant>
      <vt:variant>
        <vt:i4>2031664</vt:i4>
      </vt:variant>
      <vt:variant>
        <vt:i4>497</vt:i4>
      </vt:variant>
      <vt:variant>
        <vt:i4>0</vt:i4>
      </vt:variant>
      <vt:variant>
        <vt:i4>5</vt:i4>
      </vt:variant>
      <vt:variant>
        <vt:lpwstr/>
      </vt:variant>
      <vt:variant>
        <vt:lpwstr>_Toc352074691</vt:lpwstr>
      </vt:variant>
      <vt:variant>
        <vt:i4>2031664</vt:i4>
      </vt:variant>
      <vt:variant>
        <vt:i4>491</vt:i4>
      </vt:variant>
      <vt:variant>
        <vt:i4>0</vt:i4>
      </vt:variant>
      <vt:variant>
        <vt:i4>5</vt:i4>
      </vt:variant>
      <vt:variant>
        <vt:lpwstr/>
      </vt:variant>
      <vt:variant>
        <vt:lpwstr>_Toc352074690</vt:lpwstr>
      </vt:variant>
      <vt:variant>
        <vt:i4>1966128</vt:i4>
      </vt:variant>
      <vt:variant>
        <vt:i4>485</vt:i4>
      </vt:variant>
      <vt:variant>
        <vt:i4>0</vt:i4>
      </vt:variant>
      <vt:variant>
        <vt:i4>5</vt:i4>
      </vt:variant>
      <vt:variant>
        <vt:lpwstr/>
      </vt:variant>
      <vt:variant>
        <vt:lpwstr>_Toc352074689</vt:lpwstr>
      </vt:variant>
      <vt:variant>
        <vt:i4>1966128</vt:i4>
      </vt:variant>
      <vt:variant>
        <vt:i4>476</vt:i4>
      </vt:variant>
      <vt:variant>
        <vt:i4>0</vt:i4>
      </vt:variant>
      <vt:variant>
        <vt:i4>5</vt:i4>
      </vt:variant>
      <vt:variant>
        <vt:lpwstr/>
      </vt:variant>
      <vt:variant>
        <vt:lpwstr>_Toc352074688</vt:lpwstr>
      </vt:variant>
      <vt:variant>
        <vt:i4>1966128</vt:i4>
      </vt:variant>
      <vt:variant>
        <vt:i4>470</vt:i4>
      </vt:variant>
      <vt:variant>
        <vt:i4>0</vt:i4>
      </vt:variant>
      <vt:variant>
        <vt:i4>5</vt:i4>
      </vt:variant>
      <vt:variant>
        <vt:lpwstr/>
      </vt:variant>
      <vt:variant>
        <vt:lpwstr>_Toc352074687</vt:lpwstr>
      </vt:variant>
      <vt:variant>
        <vt:i4>1966128</vt:i4>
      </vt:variant>
      <vt:variant>
        <vt:i4>464</vt:i4>
      </vt:variant>
      <vt:variant>
        <vt:i4>0</vt:i4>
      </vt:variant>
      <vt:variant>
        <vt:i4>5</vt:i4>
      </vt:variant>
      <vt:variant>
        <vt:lpwstr/>
      </vt:variant>
      <vt:variant>
        <vt:lpwstr>_Toc352074686</vt:lpwstr>
      </vt:variant>
      <vt:variant>
        <vt:i4>1966128</vt:i4>
      </vt:variant>
      <vt:variant>
        <vt:i4>458</vt:i4>
      </vt:variant>
      <vt:variant>
        <vt:i4>0</vt:i4>
      </vt:variant>
      <vt:variant>
        <vt:i4>5</vt:i4>
      </vt:variant>
      <vt:variant>
        <vt:lpwstr/>
      </vt:variant>
      <vt:variant>
        <vt:lpwstr>_Toc352074685</vt:lpwstr>
      </vt:variant>
      <vt:variant>
        <vt:i4>1966128</vt:i4>
      </vt:variant>
      <vt:variant>
        <vt:i4>452</vt:i4>
      </vt:variant>
      <vt:variant>
        <vt:i4>0</vt:i4>
      </vt:variant>
      <vt:variant>
        <vt:i4>5</vt:i4>
      </vt:variant>
      <vt:variant>
        <vt:lpwstr/>
      </vt:variant>
      <vt:variant>
        <vt:lpwstr>_Toc352074684</vt:lpwstr>
      </vt:variant>
      <vt:variant>
        <vt:i4>1966128</vt:i4>
      </vt:variant>
      <vt:variant>
        <vt:i4>446</vt:i4>
      </vt:variant>
      <vt:variant>
        <vt:i4>0</vt:i4>
      </vt:variant>
      <vt:variant>
        <vt:i4>5</vt:i4>
      </vt:variant>
      <vt:variant>
        <vt:lpwstr/>
      </vt:variant>
      <vt:variant>
        <vt:lpwstr>_Toc352074683</vt:lpwstr>
      </vt:variant>
      <vt:variant>
        <vt:i4>1966128</vt:i4>
      </vt:variant>
      <vt:variant>
        <vt:i4>440</vt:i4>
      </vt:variant>
      <vt:variant>
        <vt:i4>0</vt:i4>
      </vt:variant>
      <vt:variant>
        <vt:i4>5</vt:i4>
      </vt:variant>
      <vt:variant>
        <vt:lpwstr/>
      </vt:variant>
      <vt:variant>
        <vt:lpwstr>_Toc352074682</vt:lpwstr>
      </vt:variant>
      <vt:variant>
        <vt:i4>1966128</vt:i4>
      </vt:variant>
      <vt:variant>
        <vt:i4>434</vt:i4>
      </vt:variant>
      <vt:variant>
        <vt:i4>0</vt:i4>
      </vt:variant>
      <vt:variant>
        <vt:i4>5</vt:i4>
      </vt:variant>
      <vt:variant>
        <vt:lpwstr/>
      </vt:variant>
      <vt:variant>
        <vt:lpwstr>_Toc352074681</vt:lpwstr>
      </vt:variant>
      <vt:variant>
        <vt:i4>1966128</vt:i4>
      </vt:variant>
      <vt:variant>
        <vt:i4>428</vt:i4>
      </vt:variant>
      <vt:variant>
        <vt:i4>0</vt:i4>
      </vt:variant>
      <vt:variant>
        <vt:i4>5</vt:i4>
      </vt:variant>
      <vt:variant>
        <vt:lpwstr/>
      </vt:variant>
      <vt:variant>
        <vt:lpwstr>_Toc352074680</vt:lpwstr>
      </vt:variant>
      <vt:variant>
        <vt:i4>1114160</vt:i4>
      </vt:variant>
      <vt:variant>
        <vt:i4>422</vt:i4>
      </vt:variant>
      <vt:variant>
        <vt:i4>0</vt:i4>
      </vt:variant>
      <vt:variant>
        <vt:i4>5</vt:i4>
      </vt:variant>
      <vt:variant>
        <vt:lpwstr/>
      </vt:variant>
      <vt:variant>
        <vt:lpwstr>_Toc352074679</vt:lpwstr>
      </vt:variant>
      <vt:variant>
        <vt:i4>1114160</vt:i4>
      </vt:variant>
      <vt:variant>
        <vt:i4>416</vt:i4>
      </vt:variant>
      <vt:variant>
        <vt:i4>0</vt:i4>
      </vt:variant>
      <vt:variant>
        <vt:i4>5</vt:i4>
      </vt:variant>
      <vt:variant>
        <vt:lpwstr/>
      </vt:variant>
      <vt:variant>
        <vt:lpwstr>_Toc352074678</vt:lpwstr>
      </vt:variant>
      <vt:variant>
        <vt:i4>1114160</vt:i4>
      </vt:variant>
      <vt:variant>
        <vt:i4>410</vt:i4>
      </vt:variant>
      <vt:variant>
        <vt:i4>0</vt:i4>
      </vt:variant>
      <vt:variant>
        <vt:i4>5</vt:i4>
      </vt:variant>
      <vt:variant>
        <vt:lpwstr/>
      </vt:variant>
      <vt:variant>
        <vt:lpwstr>_Toc352074677</vt:lpwstr>
      </vt:variant>
      <vt:variant>
        <vt:i4>1114160</vt:i4>
      </vt:variant>
      <vt:variant>
        <vt:i4>404</vt:i4>
      </vt:variant>
      <vt:variant>
        <vt:i4>0</vt:i4>
      </vt:variant>
      <vt:variant>
        <vt:i4>5</vt:i4>
      </vt:variant>
      <vt:variant>
        <vt:lpwstr/>
      </vt:variant>
      <vt:variant>
        <vt:lpwstr>_Toc352074676</vt:lpwstr>
      </vt:variant>
      <vt:variant>
        <vt:i4>1114160</vt:i4>
      </vt:variant>
      <vt:variant>
        <vt:i4>398</vt:i4>
      </vt:variant>
      <vt:variant>
        <vt:i4>0</vt:i4>
      </vt:variant>
      <vt:variant>
        <vt:i4>5</vt:i4>
      </vt:variant>
      <vt:variant>
        <vt:lpwstr/>
      </vt:variant>
      <vt:variant>
        <vt:lpwstr>_Toc352074675</vt:lpwstr>
      </vt:variant>
      <vt:variant>
        <vt:i4>1114160</vt:i4>
      </vt:variant>
      <vt:variant>
        <vt:i4>392</vt:i4>
      </vt:variant>
      <vt:variant>
        <vt:i4>0</vt:i4>
      </vt:variant>
      <vt:variant>
        <vt:i4>5</vt:i4>
      </vt:variant>
      <vt:variant>
        <vt:lpwstr/>
      </vt:variant>
      <vt:variant>
        <vt:lpwstr>_Toc352074674</vt:lpwstr>
      </vt:variant>
      <vt:variant>
        <vt:i4>1114160</vt:i4>
      </vt:variant>
      <vt:variant>
        <vt:i4>386</vt:i4>
      </vt:variant>
      <vt:variant>
        <vt:i4>0</vt:i4>
      </vt:variant>
      <vt:variant>
        <vt:i4>5</vt:i4>
      </vt:variant>
      <vt:variant>
        <vt:lpwstr/>
      </vt:variant>
      <vt:variant>
        <vt:lpwstr>_Toc352074673</vt:lpwstr>
      </vt:variant>
      <vt:variant>
        <vt:i4>1114160</vt:i4>
      </vt:variant>
      <vt:variant>
        <vt:i4>380</vt:i4>
      </vt:variant>
      <vt:variant>
        <vt:i4>0</vt:i4>
      </vt:variant>
      <vt:variant>
        <vt:i4>5</vt:i4>
      </vt:variant>
      <vt:variant>
        <vt:lpwstr/>
      </vt:variant>
      <vt:variant>
        <vt:lpwstr>_Toc352074672</vt:lpwstr>
      </vt:variant>
      <vt:variant>
        <vt:i4>1114160</vt:i4>
      </vt:variant>
      <vt:variant>
        <vt:i4>374</vt:i4>
      </vt:variant>
      <vt:variant>
        <vt:i4>0</vt:i4>
      </vt:variant>
      <vt:variant>
        <vt:i4>5</vt:i4>
      </vt:variant>
      <vt:variant>
        <vt:lpwstr/>
      </vt:variant>
      <vt:variant>
        <vt:lpwstr>_Toc352074671</vt:lpwstr>
      </vt:variant>
      <vt:variant>
        <vt:i4>1114160</vt:i4>
      </vt:variant>
      <vt:variant>
        <vt:i4>368</vt:i4>
      </vt:variant>
      <vt:variant>
        <vt:i4>0</vt:i4>
      </vt:variant>
      <vt:variant>
        <vt:i4>5</vt:i4>
      </vt:variant>
      <vt:variant>
        <vt:lpwstr/>
      </vt:variant>
      <vt:variant>
        <vt:lpwstr>_Toc352074670</vt:lpwstr>
      </vt:variant>
      <vt:variant>
        <vt:i4>1048624</vt:i4>
      </vt:variant>
      <vt:variant>
        <vt:i4>362</vt:i4>
      </vt:variant>
      <vt:variant>
        <vt:i4>0</vt:i4>
      </vt:variant>
      <vt:variant>
        <vt:i4>5</vt:i4>
      </vt:variant>
      <vt:variant>
        <vt:lpwstr/>
      </vt:variant>
      <vt:variant>
        <vt:lpwstr>_Toc352074669</vt:lpwstr>
      </vt:variant>
      <vt:variant>
        <vt:i4>1048624</vt:i4>
      </vt:variant>
      <vt:variant>
        <vt:i4>356</vt:i4>
      </vt:variant>
      <vt:variant>
        <vt:i4>0</vt:i4>
      </vt:variant>
      <vt:variant>
        <vt:i4>5</vt:i4>
      </vt:variant>
      <vt:variant>
        <vt:lpwstr/>
      </vt:variant>
      <vt:variant>
        <vt:lpwstr>_Toc352074668</vt:lpwstr>
      </vt:variant>
      <vt:variant>
        <vt:i4>1048624</vt:i4>
      </vt:variant>
      <vt:variant>
        <vt:i4>350</vt:i4>
      </vt:variant>
      <vt:variant>
        <vt:i4>0</vt:i4>
      </vt:variant>
      <vt:variant>
        <vt:i4>5</vt:i4>
      </vt:variant>
      <vt:variant>
        <vt:lpwstr/>
      </vt:variant>
      <vt:variant>
        <vt:lpwstr>_Toc352074667</vt:lpwstr>
      </vt:variant>
      <vt:variant>
        <vt:i4>1048624</vt:i4>
      </vt:variant>
      <vt:variant>
        <vt:i4>344</vt:i4>
      </vt:variant>
      <vt:variant>
        <vt:i4>0</vt:i4>
      </vt:variant>
      <vt:variant>
        <vt:i4>5</vt:i4>
      </vt:variant>
      <vt:variant>
        <vt:lpwstr/>
      </vt:variant>
      <vt:variant>
        <vt:lpwstr>_Toc352074666</vt:lpwstr>
      </vt:variant>
      <vt:variant>
        <vt:i4>1048624</vt:i4>
      </vt:variant>
      <vt:variant>
        <vt:i4>338</vt:i4>
      </vt:variant>
      <vt:variant>
        <vt:i4>0</vt:i4>
      </vt:variant>
      <vt:variant>
        <vt:i4>5</vt:i4>
      </vt:variant>
      <vt:variant>
        <vt:lpwstr/>
      </vt:variant>
      <vt:variant>
        <vt:lpwstr>_Toc352074665</vt:lpwstr>
      </vt:variant>
      <vt:variant>
        <vt:i4>1048624</vt:i4>
      </vt:variant>
      <vt:variant>
        <vt:i4>332</vt:i4>
      </vt:variant>
      <vt:variant>
        <vt:i4>0</vt:i4>
      </vt:variant>
      <vt:variant>
        <vt:i4>5</vt:i4>
      </vt:variant>
      <vt:variant>
        <vt:lpwstr/>
      </vt:variant>
      <vt:variant>
        <vt:lpwstr>_Toc352074664</vt:lpwstr>
      </vt:variant>
      <vt:variant>
        <vt:i4>1048624</vt:i4>
      </vt:variant>
      <vt:variant>
        <vt:i4>326</vt:i4>
      </vt:variant>
      <vt:variant>
        <vt:i4>0</vt:i4>
      </vt:variant>
      <vt:variant>
        <vt:i4>5</vt:i4>
      </vt:variant>
      <vt:variant>
        <vt:lpwstr/>
      </vt:variant>
      <vt:variant>
        <vt:lpwstr>_Toc352074663</vt:lpwstr>
      </vt:variant>
      <vt:variant>
        <vt:i4>1048624</vt:i4>
      </vt:variant>
      <vt:variant>
        <vt:i4>320</vt:i4>
      </vt:variant>
      <vt:variant>
        <vt:i4>0</vt:i4>
      </vt:variant>
      <vt:variant>
        <vt:i4>5</vt:i4>
      </vt:variant>
      <vt:variant>
        <vt:lpwstr/>
      </vt:variant>
      <vt:variant>
        <vt:lpwstr>_Toc352074662</vt:lpwstr>
      </vt:variant>
      <vt:variant>
        <vt:i4>1048624</vt:i4>
      </vt:variant>
      <vt:variant>
        <vt:i4>314</vt:i4>
      </vt:variant>
      <vt:variant>
        <vt:i4>0</vt:i4>
      </vt:variant>
      <vt:variant>
        <vt:i4>5</vt:i4>
      </vt:variant>
      <vt:variant>
        <vt:lpwstr/>
      </vt:variant>
      <vt:variant>
        <vt:lpwstr>_Toc352074661</vt:lpwstr>
      </vt:variant>
      <vt:variant>
        <vt:i4>1048624</vt:i4>
      </vt:variant>
      <vt:variant>
        <vt:i4>308</vt:i4>
      </vt:variant>
      <vt:variant>
        <vt:i4>0</vt:i4>
      </vt:variant>
      <vt:variant>
        <vt:i4>5</vt:i4>
      </vt:variant>
      <vt:variant>
        <vt:lpwstr/>
      </vt:variant>
      <vt:variant>
        <vt:lpwstr>_Toc352074660</vt:lpwstr>
      </vt:variant>
      <vt:variant>
        <vt:i4>1245232</vt:i4>
      </vt:variant>
      <vt:variant>
        <vt:i4>302</vt:i4>
      </vt:variant>
      <vt:variant>
        <vt:i4>0</vt:i4>
      </vt:variant>
      <vt:variant>
        <vt:i4>5</vt:i4>
      </vt:variant>
      <vt:variant>
        <vt:lpwstr/>
      </vt:variant>
      <vt:variant>
        <vt:lpwstr>_Toc352074659</vt:lpwstr>
      </vt:variant>
      <vt:variant>
        <vt:i4>1245232</vt:i4>
      </vt:variant>
      <vt:variant>
        <vt:i4>296</vt:i4>
      </vt:variant>
      <vt:variant>
        <vt:i4>0</vt:i4>
      </vt:variant>
      <vt:variant>
        <vt:i4>5</vt:i4>
      </vt:variant>
      <vt:variant>
        <vt:lpwstr/>
      </vt:variant>
      <vt:variant>
        <vt:lpwstr>_Toc352074658</vt:lpwstr>
      </vt:variant>
      <vt:variant>
        <vt:i4>1245232</vt:i4>
      </vt:variant>
      <vt:variant>
        <vt:i4>290</vt:i4>
      </vt:variant>
      <vt:variant>
        <vt:i4>0</vt:i4>
      </vt:variant>
      <vt:variant>
        <vt:i4>5</vt:i4>
      </vt:variant>
      <vt:variant>
        <vt:lpwstr/>
      </vt:variant>
      <vt:variant>
        <vt:lpwstr>_Toc352074657</vt:lpwstr>
      </vt:variant>
      <vt:variant>
        <vt:i4>1245232</vt:i4>
      </vt:variant>
      <vt:variant>
        <vt:i4>284</vt:i4>
      </vt:variant>
      <vt:variant>
        <vt:i4>0</vt:i4>
      </vt:variant>
      <vt:variant>
        <vt:i4>5</vt:i4>
      </vt:variant>
      <vt:variant>
        <vt:lpwstr/>
      </vt:variant>
      <vt:variant>
        <vt:lpwstr>_Toc352074656</vt:lpwstr>
      </vt:variant>
      <vt:variant>
        <vt:i4>1245232</vt:i4>
      </vt:variant>
      <vt:variant>
        <vt:i4>278</vt:i4>
      </vt:variant>
      <vt:variant>
        <vt:i4>0</vt:i4>
      </vt:variant>
      <vt:variant>
        <vt:i4>5</vt:i4>
      </vt:variant>
      <vt:variant>
        <vt:lpwstr/>
      </vt:variant>
      <vt:variant>
        <vt:lpwstr>_Toc352074655</vt:lpwstr>
      </vt:variant>
      <vt:variant>
        <vt:i4>1245232</vt:i4>
      </vt:variant>
      <vt:variant>
        <vt:i4>272</vt:i4>
      </vt:variant>
      <vt:variant>
        <vt:i4>0</vt:i4>
      </vt:variant>
      <vt:variant>
        <vt:i4>5</vt:i4>
      </vt:variant>
      <vt:variant>
        <vt:lpwstr/>
      </vt:variant>
      <vt:variant>
        <vt:lpwstr>_Toc352074654</vt:lpwstr>
      </vt:variant>
      <vt:variant>
        <vt:i4>1245232</vt:i4>
      </vt:variant>
      <vt:variant>
        <vt:i4>266</vt:i4>
      </vt:variant>
      <vt:variant>
        <vt:i4>0</vt:i4>
      </vt:variant>
      <vt:variant>
        <vt:i4>5</vt:i4>
      </vt:variant>
      <vt:variant>
        <vt:lpwstr/>
      </vt:variant>
      <vt:variant>
        <vt:lpwstr>_Toc352074653</vt:lpwstr>
      </vt:variant>
      <vt:variant>
        <vt:i4>1245232</vt:i4>
      </vt:variant>
      <vt:variant>
        <vt:i4>260</vt:i4>
      </vt:variant>
      <vt:variant>
        <vt:i4>0</vt:i4>
      </vt:variant>
      <vt:variant>
        <vt:i4>5</vt:i4>
      </vt:variant>
      <vt:variant>
        <vt:lpwstr/>
      </vt:variant>
      <vt:variant>
        <vt:lpwstr>_Toc352074652</vt:lpwstr>
      </vt:variant>
      <vt:variant>
        <vt:i4>1245232</vt:i4>
      </vt:variant>
      <vt:variant>
        <vt:i4>254</vt:i4>
      </vt:variant>
      <vt:variant>
        <vt:i4>0</vt:i4>
      </vt:variant>
      <vt:variant>
        <vt:i4>5</vt:i4>
      </vt:variant>
      <vt:variant>
        <vt:lpwstr/>
      </vt:variant>
      <vt:variant>
        <vt:lpwstr>_Toc352074651</vt:lpwstr>
      </vt:variant>
      <vt:variant>
        <vt:i4>1245232</vt:i4>
      </vt:variant>
      <vt:variant>
        <vt:i4>248</vt:i4>
      </vt:variant>
      <vt:variant>
        <vt:i4>0</vt:i4>
      </vt:variant>
      <vt:variant>
        <vt:i4>5</vt:i4>
      </vt:variant>
      <vt:variant>
        <vt:lpwstr/>
      </vt:variant>
      <vt:variant>
        <vt:lpwstr>_Toc352074650</vt:lpwstr>
      </vt:variant>
      <vt:variant>
        <vt:i4>1179696</vt:i4>
      </vt:variant>
      <vt:variant>
        <vt:i4>242</vt:i4>
      </vt:variant>
      <vt:variant>
        <vt:i4>0</vt:i4>
      </vt:variant>
      <vt:variant>
        <vt:i4>5</vt:i4>
      </vt:variant>
      <vt:variant>
        <vt:lpwstr/>
      </vt:variant>
      <vt:variant>
        <vt:lpwstr>_Toc352074649</vt:lpwstr>
      </vt:variant>
      <vt:variant>
        <vt:i4>1179696</vt:i4>
      </vt:variant>
      <vt:variant>
        <vt:i4>236</vt:i4>
      </vt:variant>
      <vt:variant>
        <vt:i4>0</vt:i4>
      </vt:variant>
      <vt:variant>
        <vt:i4>5</vt:i4>
      </vt:variant>
      <vt:variant>
        <vt:lpwstr/>
      </vt:variant>
      <vt:variant>
        <vt:lpwstr>_Toc352074648</vt:lpwstr>
      </vt:variant>
      <vt:variant>
        <vt:i4>1179696</vt:i4>
      </vt:variant>
      <vt:variant>
        <vt:i4>230</vt:i4>
      </vt:variant>
      <vt:variant>
        <vt:i4>0</vt:i4>
      </vt:variant>
      <vt:variant>
        <vt:i4>5</vt:i4>
      </vt:variant>
      <vt:variant>
        <vt:lpwstr/>
      </vt:variant>
      <vt:variant>
        <vt:lpwstr>_Toc352074647</vt:lpwstr>
      </vt:variant>
      <vt:variant>
        <vt:i4>1179696</vt:i4>
      </vt:variant>
      <vt:variant>
        <vt:i4>224</vt:i4>
      </vt:variant>
      <vt:variant>
        <vt:i4>0</vt:i4>
      </vt:variant>
      <vt:variant>
        <vt:i4>5</vt:i4>
      </vt:variant>
      <vt:variant>
        <vt:lpwstr/>
      </vt:variant>
      <vt:variant>
        <vt:lpwstr>_Toc352074646</vt:lpwstr>
      </vt:variant>
      <vt:variant>
        <vt:i4>1179696</vt:i4>
      </vt:variant>
      <vt:variant>
        <vt:i4>218</vt:i4>
      </vt:variant>
      <vt:variant>
        <vt:i4>0</vt:i4>
      </vt:variant>
      <vt:variant>
        <vt:i4>5</vt:i4>
      </vt:variant>
      <vt:variant>
        <vt:lpwstr/>
      </vt:variant>
      <vt:variant>
        <vt:lpwstr>_Toc352074645</vt:lpwstr>
      </vt:variant>
      <vt:variant>
        <vt:i4>1179696</vt:i4>
      </vt:variant>
      <vt:variant>
        <vt:i4>212</vt:i4>
      </vt:variant>
      <vt:variant>
        <vt:i4>0</vt:i4>
      </vt:variant>
      <vt:variant>
        <vt:i4>5</vt:i4>
      </vt:variant>
      <vt:variant>
        <vt:lpwstr/>
      </vt:variant>
      <vt:variant>
        <vt:lpwstr>_Toc352074644</vt:lpwstr>
      </vt:variant>
      <vt:variant>
        <vt:i4>1179696</vt:i4>
      </vt:variant>
      <vt:variant>
        <vt:i4>206</vt:i4>
      </vt:variant>
      <vt:variant>
        <vt:i4>0</vt:i4>
      </vt:variant>
      <vt:variant>
        <vt:i4>5</vt:i4>
      </vt:variant>
      <vt:variant>
        <vt:lpwstr/>
      </vt:variant>
      <vt:variant>
        <vt:lpwstr>_Toc352074643</vt:lpwstr>
      </vt:variant>
      <vt:variant>
        <vt:i4>1179696</vt:i4>
      </vt:variant>
      <vt:variant>
        <vt:i4>200</vt:i4>
      </vt:variant>
      <vt:variant>
        <vt:i4>0</vt:i4>
      </vt:variant>
      <vt:variant>
        <vt:i4>5</vt:i4>
      </vt:variant>
      <vt:variant>
        <vt:lpwstr/>
      </vt:variant>
      <vt:variant>
        <vt:lpwstr>_Toc352074642</vt:lpwstr>
      </vt:variant>
      <vt:variant>
        <vt:i4>1179696</vt:i4>
      </vt:variant>
      <vt:variant>
        <vt:i4>194</vt:i4>
      </vt:variant>
      <vt:variant>
        <vt:i4>0</vt:i4>
      </vt:variant>
      <vt:variant>
        <vt:i4>5</vt:i4>
      </vt:variant>
      <vt:variant>
        <vt:lpwstr/>
      </vt:variant>
      <vt:variant>
        <vt:lpwstr>_Toc352074641</vt:lpwstr>
      </vt:variant>
      <vt:variant>
        <vt:i4>1179696</vt:i4>
      </vt:variant>
      <vt:variant>
        <vt:i4>188</vt:i4>
      </vt:variant>
      <vt:variant>
        <vt:i4>0</vt:i4>
      </vt:variant>
      <vt:variant>
        <vt:i4>5</vt:i4>
      </vt:variant>
      <vt:variant>
        <vt:lpwstr/>
      </vt:variant>
      <vt:variant>
        <vt:lpwstr>_Toc352074640</vt:lpwstr>
      </vt:variant>
      <vt:variant>
        <vt:i4>1376304</vt:i4>
      </vt:variant>
      <vt:variant>
        <vt:i4>182</vt:i4>
      </vt:variant>
      <vt:variant>
        <vt:i4>0</vt:i4>
      </vt:variant>
      <vt:variant>
        <vt:i4>5</vt:i4>
      </vt:variant>
      <vt:variant>
        <vt:lpwstr/>
      </vt:variant>
      <vt:variant>
        <vt:lpwstr>_Toc352074639</vt:lpwstr>
      </vt:variant>
      <vt:variant>
        <vt:i4>1376304</vt:i4>
      </vt:variant>
      <vt:variant>
        <vt:i4>176</vt:i4>
      </vt:variant>
      <vt:variant>
        <vt:i4>0</vt:i4>
      </vt:variant>
      <vt:variant>
        <vt:i4>5</vt:i4>
      </vt:variant>
      <vt:variant>
        <vt:lpwstr/>
      </vt:variant>
      <vt:variant>
        <vt:lpwstr>_Toc352074638</vt:lpwstr>
      </vt:variant>
      <vt:variant>
        <vt:i4>1376304</vt:i4>
      </vt:variant>
      <vt:variant>
        <vt:i4>170</vt:i4>
      </vt:variant>
      <vt:variant>
        <vt:i4>0</vt:i4>
      </vt:variant>
      <vt:variant>
        <vt:i4>5</vt:i4>
      </vt:variant>
      <vt:variant>
        <vt:lpwstr/>
      </vt:variant>
      <vt:variant>
        <vt:lpwstr>_Toc352074637</vt:lpwstr>
      </vt:variant>
      <vt:variant>
        <vt:i4>1376304</vt:i4>
      </vt:variant>
      <vt:variant>
        <vt:i4>164</vt:i4>
      </vt:variant>
      <vt:variant>
        <vt:i4>0</vt:i4>
      </vt:variant>
      <vt:variant>
        <vt:i4>5</vt:i4>
      </vt:variant>
      <vt:variant>
        <vt:lpwstr/>
      </vt:variant>
      <vt:variant>
        <vt:lpwstr>_Toc352074636</vt:lpwstr>
      </vt:variant>
      <vt:variant>
        <vt:i4>1376304</vt:i4>
      </vt:variant>
      <vt:variant>
        <vt:i4>158</vt:i4>
      </vt:variant>
      <vt:variant>
        <vt:i4>0</vt:i4>
      </vt:variant>
      <vt:variant>
        <vt:i4>5</vt:i4>
      </vt:variant>
      <vt:variant>
        <vt:lpwstr/>
      </vt:variant>
      <vt:variant>
        <vt:lpwstr>_Toc352074635</vt:lpwstr>
      </vt:variant>
      <vt:variant>
        <vt:i4>1376304</vt:i4>
      </vt:variant>
      <vt:variant>
        <vt:i4>152</vt:i4>
      </vt:variant>
      <vt:variant>
        <vt:i4>0</vt:i4>
      </vt:variant>
      <vt:variant>
        <vt:i4>5</vt:i4>
      </vt:variant>
      <vt:variant>
        <vt:lpwstr/>
      </vt:variant>
      <vt:variant>
        <vt:lpwstr>_Toc352074634</vt:lpwstr>
      </vt:variant>
      <vt:variant>
        <vt:i4>1376304</vt:i4>
      </vt:variant>
      <vt:variant>
        <vt:i4>146</vt:i4>
      </vt:variant>
      <vt:variant>
        <vt:i4>0</vt:i4>
      </vt:variant>
      <vt:variant>
        <vt:i4>5</vt:i4>
      </vt:variant>
      <vt:variant>
        <vt:lpwstr/>
      </vt:variant>
      <vt:variant>
        <vt:lpwstr>_Toc352074633</vt:lpwstr>
      </vt:variant>
      <vt:variant>
        <vt:i4>1376304</vt:i4>
      </vt:variant>
      <vt:variant>
        <vt:i4>140</vt:i4>
      </vt:variant>
      <vt:variant>
        <vt:i4>0</vt:i4>
      </vt:variant>
      <vt:variant>
        <vt:i4>5</vt:i4>
      </vt:variant>
      <vt:variant>
        <vt:lpwstr/>
      </vt:variant>
      <vt:variant>
        <vt:lpwstr>_Toc352074632</vt:lpwstr>
      </vt:variant>
      <vt:variant>
        <vt:i4>1376304</vt:i4>
      </vt:variant>
      <vt:variant>
        <vt:i4>134</vt:i4>
      </vt:variant>
      <vt:variant>
        <vt:i4>0</vt:i4>
      </vt:variant>
      <vt:variant>
        <vt:i4>5</vt:i4>
      </vt:variant>
      <vt:variant>
        <vt:lpwstr/>
      </vt:variant>
      <vt:variant>
        <vt:lpwstr>_Toc352074631</vt:lpwstr>
      </vt:variant>
      <vt:variant>
        <vt:i4>1376304</vt:i4>
      </vt:variant>
      <vt:variant>
        <vt:i4>128</vt:i4>
      </vt:variant>
      <vt:variant>
        <vt:i4>0</vt:i4>
      </vt:variant>
      <vt:variant>
        <vt:i4>5</vt:i4>
      </vt:variant>
      <vt:variant>
        <vt:lpwstr/>
      </vt:variant>
      <vt:variant>
        <vt:lpwstr>_Toc352074630</vt:lpwstr>
      </vt:variant>
      <vt:variant>
        <vt:i4>1310768</vt:i4>
      </vt:variant>
      <vt:variant>
        <vt:i4>122</vt:i4>
      </vt:variant>
      <vt:variant>
        <vt:i4>0</vt:i4>
      </vt:variant>
      <vt:variant>
        <vt:i4>5</vt:i4>
      </vt:variant>
      <vt:variant>
        <vt:lpwstr/>
      </vt:variant>
      <vt:variant>
        <vt:lpwstr>_Toc352074629</vt:lpwstr>
      </vt:variant>
      <vt:variant>
        <vt:i4>1310768</vt:i4>
      </vt:variant>
      <vt:variant>
        <vt:i4>116</vt:i4>
      </vt:variant>
      <vt:variant>
        <vt:i4>0</vt:i4>
      </vt:variant>
      <vt:variant>
        <vt:i4>5</vt:i4>
      </vt:variant>
      <vt:variant>
        <vt:lpwstr/>
      </vt:variant>
      <vt:variant>
        <vt:lpwstr>_Toc352074628</vt:lpwstr>
      </vt:variant>
      <vt:variant>
        <vt:i4>1310768</vt:i4>
      </vt:variant>
      <vt:variant>
        <vt:i4>110</vt:i4>
      </vt:variant>
      <vt:variant>
        <vt:i4>0</vt:i4>
      </vt:variant>
      <vt:variant>
        <vt:i4>5</vt:i4>
      </vt:variant>
      <vt:variant>
        <vt:lpwstr/>
      </vt:variant>
      <vt:variant>
        <vt:lpwstr>_Toc352074627</vt:lpwstr>
      </vt:variant>
      <vt:variant>
        <vt:i4>1310768</vt:i4>
      </vt:variant>
      <vt:variant>
        <vt:i4>104</vt:i4>
      </vt:variant>
      <vt:variant>
        <vt:i4>0</vt:i4>
      </vt:variant>
      <vt:variant>
        <vt:i4>5</vt:i4>
      </vt:variant>
      <vt:variant>
        <vt:lpwstr/>
      </vt:variant>
      <vt:variant>
        <vt:lpwstr>_Toc352074626</vt:lpwstr>
      </vt:variant>
      <vt:variant>
        <vt:i4>1310768</vt:i4>
      </vt:variant>
      <vt:variant>
        <vt:i4>98</vt:i4>
      </vt:variant>
      <vt:variant>
        <vt:i4>0</vt:i4>
      </vt:variant>
      <vt:variant>
        <vt:i4>5</vt:i4>
      </vt:variant>
      <vt:variant>
        <vt:lpwstr/>
      </vt:variant>
      <vt:variant>
        <vt:lpwstr>_Toc352074625</vt:lpwstr>
      </vt:variant>
      <vt:variant>
        <vt:i4>1310768</vt:i4>
      </vt:variant>
      <vt:variant>
        <vt:i4>92</vt:i4>
      </vt:variant>
      <vt:variant>
        <vt:i4>0</vt:i4>
      </vt:variant>
      <vt:variant>
        <vt:i4>5</vt:i4>
      </vt:variant>
      <vt:variant>
        <vt:lpwstr/>
      </vt:variant>
      <vt:variant>
        <vt:lpwstr>_Toc352074624</vt:lpwstr>
      </vt:variant>
      <vt:variant>
        <vt:i4>1310768</vt:i4>
      </vt:variant>
      <vt:variant>
        <vt:i4>86</vt:i4>
      </vt:variant>
      <vt:variant>
        <vt:i4>0</vt:i4>
      </vt:variant>
      <vt:variant>
        <vt:i4>5</vt:i4>
      </vt:variant>
      <vt:variant>
        <vt:lpwstr/>
      </vt:variant>
      <vt:variant>
        <vt:lpwstr>_Toc352074623</vt:lpwstr>
      </vt:variant>
      <vt:variant>
        <vt:i4>1310768</vt:i4>
      </vt:variant>
      <vt:variant>
        <vt:i4>80</vt:i4>
      </vt:variant>
      <vt:variant>
        <vt:i4>0</vt:i4>
      </vt:variant>
      <vt:variant>
        <vt:i4>5</vt:i4>
      </vt:variant>
      <vt:variant>
        <vt:lpwstr/>
      </vt:variant>
      <vt:variant>
        <vt:lpwstr>_Toc352074622</vt:lpwstr>
      </vt:variant>
      <vt:variant>
        <vt:i4>1310768</vt:i4>
      </vt:variant>
      <vt:variant>
        <vt:i4>74</vt:i4>
      </vt:variant>
      <vt:variant>
        <vt:i4>0</vt:i4>
      </vt:variant>
      <vt:variant>
        <vt:i4>5</vt:i4>
      </vt:variant>
      <vt:variant>
        <vt:lpwstr/>
      </vt:variant>
      <vt:variant>
        <vt:lpwstr>_Toc352074621</vt:lpwstr>
      </vt:variant>
      <vt:variant>
        <vt:i4>1310768</vt:i4>
      </vt:variant>
      <vt:variant>
        <vt:i4>68</vt:i4>
      </vt:variant>
      <vt:variant>
        <vt:i4>0</vt:i4>
      </vt:variant>
      <vt:variant>
        <vt:i4>5</vt:i4>
      </vt:variant>
      <vt:variant>
        <vt:lpwstr/>
      </vt:variant>
      <vt:variant>
        <vt:lpwstr>_Toc352074620</vt:lpwstr>
      </vt:variant>
      <vt:variant>
        <vt:i4>1507376</vt:i4>
      </vt:variant>
      <vt:variant>
        <vt:i4>62</vt:i4>
      </vt:variant>
      <vt:variant>
        <vt:i4>0</vt:i4>
      </vt:variant>
      <vt:variant>
        <vt:i4>5</vt:i4>
      </vt:variant>
      <vt:variant>
        <vt:lpwstr/>
      </vt:variant>
      <vt:variant>
        <vt:lpwstr>_Toc352074619</vt:lpwstr>
      </vt:variant>
      <vt:variant>
        <vt:i4>1507376</vt:i4>
      </vt:variant>
      <vt:variant>
        <vt:i4>56</vt:i4>
      </vt:variant>
      <vt:variant>
        <vt:i4>0</vt:i4>
      </vt:variant>
      <vt:variant>
        <vt:i4>5</vt:i4>
      </vt:variant>
      <vt:variant>
        <vt:lpwstr/>
      </vt:variant>
      <vt:variant>
        <vt:lpwstr>_Toc352074618</vt:lpwstr>
      </vt:variant>
      <vt:variant>
        <vt:i4>1507376</vt:i4>
      </vt:variant>
      <vt:variant>
        <vt:i4>50</vt:i4>
      </vt:variant>
      <vt:variant>
        <vt:i4>0</vt:i4>
      </vt:variant>
      <vt:variant>
        <vt:i4>5</vt:i4>
      </vt:variant>
      <vt:variant>
        <vt:lpwstr/>
      </vt:variant>
      <vt:variant>
        <vt:lpwstr>_Toc352074617</vt:lpwstr>
      </vt:variant>
      <vt:variant>
        <vt:i4>1507376</vt:i4>
      </vt:variant>
      <vt:variant>
        <vt:i4>44</vt:i4>
      </vt:variant>
      <vt:variant>
        <vt:i4>0</vt:i4>
      </vt:variant>
      <vt:variant>
        <vt:i4>5</vt:i4>
      </vt:variant>
      <vt:variant>
        <vt:lpwstr/>
      </vt:variant>
      <vt:variant>
        <vt:lpwstr>_Toc352074616</vt:lpwstr>
      </vt:variant>
      <vt:variant>
        <vt:i4>1507376</vt:i4>
      </vt:variant>
      <vt:variant>
        <vt:i4>38</vt:i4>
      </vt:variant>
      <vt:variant>
        <vt:i4>0</vt:i4>
      </vt:variant>
      <vt:variant>
        <vt:i4>5</vt:i4>
      </vt:variant>
      <vt:variant>
        <vt:lpwstr/>
      </vt:variant>
      <vt:variant>
        <vt:lpwstr>_Toc352074615</vt:lpwstr>
      </vt:variant>
      <vt:variant>
        <vt:i4>1507376</vt:i4>
      </vt:variant>
      <vt:variant>
        <vt:i4>32</vt:i4>
      </vt:variant>
      <vt:variant>
        <vt:i4>0</vt:i4>
      </vt:variant>
      <vt:variant>
        <vt:i4>5</vt:i4>
      </vt:variant>
      <vt:variant>
        <vt:lpwstr/>
      </vt:variant>
      <vt:variant>
        <vt:lpwstr>_Toc352074614</vt:lpwstr>
      </vt:variant>
      <vt:variant>
        <vt:i4>1507376</vt:i4>
      </vt:variant>
      <vt:variant>
        <vt:i4>26</vt:i4>
      </vt:variant>
      <vt:variant>
        <vt:i4>0</vt:i4>
      </vt:variant>
      <vt:variant>
        <vt:i4>5</vt:i4>
      </vt:variant>
      <vt:variant>
        <vt:lpwstr/>
      </vt:variant>
      <vt:variant>
        <vt:lpwstr>_Toc352074613</vt:lpwstr>
      </vt:variant>
      <vt:variant>
        <vt:i4>1507376</vt:i4>
      </vt:variant>
      <vt:variant>
        <vt:i4>20</vt:i4>
      </vt:variant>
      <vt:variant>
        <vt:i4>0</vt:i4>
      </vt:variant>
      <vt:variant>
        <vt:i4>5</vt:i4>
      </vt:variant>
      <vt:variant>
        <vt:lpwstr/>
      </vt:variant>
      <vt:variant>
        <vt:lpwstr>_Toc352074612</vt:lpwstr>
      </vt:variant>
      <vt:variant>
        <vt:i4>1507376</vt:i4>
      </vt:variant>
      <vt:variant>
        <vt:i4>14</vt:i4>
      </vt:variant>
      <vt:variant>
        <vt:i4>0</vt:i4>
      </vt:variant>
      <vt:variant>
        <vt:i4>5</vt:i4>
      </vt:variant>
      <vt:variant>
        <vt:lpwstr/>
      </vt:variant>
      <vt:variant>
        <vt:lpwstr>_Toc352074611</vt:lpwstr>
      </vt:variant>
      <vt:variant>
        <vt:i4>1507376</vt:i4>
      </vt:variant>
      <vt:variant>
        <vt:i4>8</vt:i4>
      </vt:variant>
      <vt:variant>
        <vt:i4>0</vt:i4>
      </vt:variant>
      <vt:variant>
        <vt:i4>5</vt:i4>
      </vt:variant>
      <vt:variant>
        <vt:lpwstr/>
      </vt:variant>
      <vt:variant>
        <vt:lpwstr>_Toc352074610</vt:lpwstr>
      </vt:variant>
      <vt:variant>
        <vt:i4>1441840</vt:i4>
      </vt:variant>
      <vt:variant>
        <vt:i4>2</vt:i4>
      </vt:variant>
      <vt:variant>
        <vt:i4>0</vt:i4>
      </vt:variant>
      <vt:variant>
        <vt:i4>5</vt:i4>
      </vt:variant>
      <vt:variant>
        <vt:lpwstr/>
      </vt:variant>
      <vt:variant>
        <vt:lpwstr>_Toc352074609</vt:lpwstr>
      </vt:variant>
      <vt:variant>
        <vt:i4>4325417</vt:i4>
      </vt:variant>
      <vt:variant>
        <vt:i4>0</vt:i4>
      </vt:variant>
      <vt:variant>
        <vt:i4>0</vt:i4>
      </vt:variant>
      <vt:variant>
        <vt:i4>5</vt:i4>
      </vt:variant>
      <vt:variant>
        <vt:lpwstr>http://en.wikipedia.org/wiki/Heat_index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dc:title>
  <dc:subject/>
  <dc:creator>sdbraithwait</dc:creator>
  <cp:keywords/>
  <dc:description/>
  <cp:lastModifiedBy>Steve Braithwait</cp:lastModifiedBy>
  <cp:revision>2</cp:revision>
  <cp:lastPrinted>2015-03-27T16:27:00Z</cp:lastPrinted>
  <dcterms:created xsi:type="dcterms:W3CDTF">2015-03-30T21:42:00Z</dcterms:created>
  <dcterms:modified xsi:type="dcterms:W3CDTF">2015-03-30T21:42:00Z</dcterms:modified>
</cp:coreProperties>
</file>